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A2" w:rsidRPr="003F7DED" w:rsidRDefault="006744A2" w:rsidP="003F7DED">
      <w:pPr>
        <w:spacing w:after="240" w:line="240" w:lineRule="auto"/>
        <w:jc w:val="center"/>
        <w:rPr>
          <w:rFonts w:ascii="Arial" w:eastAsia="Times New Roman" w:hAnsi="Arial" w:cs="Arial"/>
          <w:sz w:val="28"/>
          <w:szCs w:val="28"/>
          <w:lang w:eastAsia="es-AR"/>
        </w:rPr>
      </w:pPr>
      <w:r w:rsidRPr="006744A2">
        <w:rPr>
          <w:rFonts w:ascii="Arial" w:eastAsia="Times New Roman" w:hAnsi="Arial" w:cs="Arial"/>
          <w:sz w:val="28"/>
          <w:szCs w:val="28"/>
          <w:lang w:eastAsia="es-AR"/>
        </w:rPr>
        <w:t>Becas Internacionales de Cancillería Argentina</w:t>
      </w:r>
    </w:p>
    <w:p w:rsidR="006744A2" w:rsidRPr="006744A2" w:rsidRDefault="006744A2" w:rsidP="003F7DED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r w:rsidRPr="003F7DED">
        <w:rPr>
          <w:rFonts w:ascii="Arial" w:eastAsia="Times New Roman" w:hAnsi="Arial" w:cs="Arial"/>
          <w:b/>
          <w:caps/>
          <w:sz w:val="24"/>
          <w:szCs w:val="24"/>
          <w:u w:val="single"/>
          <w:lang w:eastAsia="es-AR"/>
        </w:rPr>
        <w:t>“</w:t>
      </w:r>
      <w:r w:rsidRPr="006744A2">
        <w:rPr>
          <w:rFonts w:ascii="Arial" w:eastAsia="Times New Roman" w:hAnsi="Arial" w:cs="Arial"/>
          <w:b/>
          <w:caps/>
          <w:sz w:val="24"/>
          <w:szCs w:val="24"/>
          <w:u w:val="single"/>
          <w:lang w:eastAsia="es-AR"/>
        </w:rPr>
        <w:t>Beca Libertad de Expresi</w:t>
      </w:r>
      <w:r w:rsidRPr="003F7DED">
        <w:rPr>
          <w:rFonts w:ascii="Arial" w:eastAsia="Times New Roman" w:hAnsi="Arial" w:cs="Arial"/>
          <w:b/>
          <w:caps/>
          <w:sz w:val="24"/>
          <w:szCs w:val="24"/>
          <w:u w:val="single"/>
          <w:lang w:eastAsia="es-AR"/>
        </w:rPr>
        <w:t>ó</w:t>
      </w:r>
      <w:r w:rsidRPr="006744A2">
        <w:rPr>
          <w:rFonts w:ascii="Arial" w:eastAsia="Times New Roman" w:hAnsi="Arial" w:cs="Arial"/>
          <w:b/>
          <w:caps/>
          <w:sz w:val="24"/>
          <w:szCs w:val="24"/>
          <w:u w:val="single"/>
          <w:lang w:eastAsia="es-AR"/>
        </w:rPr>
        <w:t>n Orlando Sierra 2013</w:t>
      </w:r>
      <w:r w:rsidRPr="003F7DED">
        <w:rPr>
          <w:rFonts w:ascii="Arial" w:eastAsia="Times New Roman" w:hAnsi="Arial" w:cs="Arial"/>
          <w:b/>
          <w:caps/>
          <w:sz w:val="24"/>
          <w:szCs w:val="24"/>
          <w:u w:val="single"/>
          <w:lang w:eastAsia="es-AR"/>
        </w:rPr>
        <w:t>”</w:t>
      </w:r>
      <w:r w:rsidRPr="006744A2">
        <w:rPr>
          <w:rFonts w:ascii="Arial" w:eastAsia="Times New Roman" w:hAnsi="Arial" w:cs="Arial"/>
          <w:b/>
          <w:caps/>
          <w:sz w:val="24"/>
          <w:szCs w:val="24"/>
          <w:u w:val="single"/>
          <w:lang w:eastAsia="es-AR"/>
        </w:rPr>
        <w:br/>
      </w:r>
      <w:r w:rsidRPr="006744A2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6744A2" w:rsidRDefault="006744A2" w:rsidP="006744A2">
      <w:pPr>
        <w:pStyle w:val="Prrafodelista"/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6744A2">
        <w:rPr>
          <w:rFonts w:ascii="Arial" w:eastAsia="Times New Roman" w:hAnsi="Arial" w:cs="Arial"/>
          <w:sz w:val="24"/>
          <w:szCs w:val="24"/>
          <w:lang w:eastAsia="es-AR"/>
        </w:rPr>
        <w:t xml:space="preserve"> Cierre para la presentación de postulaciones: 20 de noviembre de 2012</w:t>
      </w:r>
    </w:p>
    <w:p w:rsidR="003F7DED" w:rsidRPr="006744A2" w:rsidRDefault="003F7DED" w:rsidP="003F7DED">
      <w:pPr>
        <w:pStyle w:val="Prrafodelista"/>
        <w:spacing w:after="24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3F7DED" w:rsidRDefault="006744A2" w:rsidP="006744A2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EA5CF8">
        <w:rPr>
          <w:rFonts w:ascii="Arial" w:eastAsia="Times New Roman" w:hAnsi="Arial" w:cs="Arial"/>
          <w:sz w:val="24"/>
          <w:szCs w:val="24"/>
          <w:lang w:eastAsia="es-AR"/>
        </w:rPr>
        <w:t>El Formulario de Solicitud de Beca y los otros documentos requeridos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 se deben enviar a la Relatoría Especial para la Libertad de Expresión de la CIDH, antes de la fecha del cierre de plazo de la convocatoria, por correo electrónico (</w:t>
      </w:r>
      <w:hyperlink r:id="rId5" w:tgtFrame="_blank" w:history="1">
        <w:r w:rsidRPr="00EA5CF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AR"/>
          </w:rPr>
          <w:t>CIDHRelainformes@oas.org</w:t>
        </w:r>
      </w:hyperlink>
      <w:r w:rsidRPr="00EA5CF8">
        <w:rPr>
          <w:rFonts w:ascii="Arial" w:eastAsia="Times New Roman" w:hAnsi="Arial" w:cs="Arial"/>
          <w:sz w:val="24"/>
          <w:szCs w:val="24"/>
          <w:lang w:eastAsia="es-AR"/>
        </w:rPr>
        <w:t>), fax (TE: 202-458-3647 - Fax: 202-458-6215) o correo postal: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eastAsia="es-AR"/>
        </w:rPr>
        <w:t>Relatoria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eastAsia="es-AR"/>
        </w:rPr>
        <w:t xml:space="preserve"> Especial para la Libertad de Expresión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Comisión Interamericana de Derechos Humanos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 xml:space="preserve">1889 F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eastAsia="es-AR"/>
        </w:rPr>
        <w:t>Street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eastAsia="es-AR"/>
        </w:rPr>
        <w:t>, N.W., Washington, D.C., 20006, U.S.A.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D36AF8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Beca de libertad de expresión Orlando Sierra 2013</w:t>
      </w:r>
      <w:r w:rsidRPr="00D36A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 xml:space="preserve">1) </w:t>
      </w:r>
      <w:r w:rsidRPr="00D36AF8">
        <w:rPr>
          <w:rFonts w:ascii="Arial" w:eastAsia="Times New Roman" w:hAnsi="Arial" w:cs="Arial"/>
          <w:b/>
          <w:sz w:val="24"/>
          <w:szCs w:val="24"/>
          <w:lang w:eastAsia="es-AR"/>
        </w:rPr>
        <w:t>Lugar de la Beca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: Relatoría Especial para la Libertad de Expresión de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la Comisión Interamericana de Derechos Humanos –. Dirección: 1889 F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eastAsia="es-AR"/>
        </w:rPr>
        <w:t>Street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eastAsia="es-AR"/>
        </w:rPr>
        <w:t>, N.W., Washington, D.C., Estados Unidos de América.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 xml:space="preserve">2) </w:t>
      </w:r>
      <w:r w:rsidRPr="00D36AF8">
        <w:rPr>
          <w:rFonts w:ascii="Arial" w:eastAsia="Times New Roman" w:hAnsi="Arial" w:cs="Arial"/>
          <w:b/>
          <w:sz w:val="24"/>
          <w:szCs w:val="24"/>
          <w:lang w:eastAsia="es-AR"/>
        </w:rPr>
        <w:t>Modalidad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: Presencial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 xml:space="preserve">3) </w:t>
      </w:r>
      <w:r w:rsidRPr="00D36AF8">
        <w:rPr>
          <w:rFonts w:ascii="Arial" w:eastAsia="Times New Roman" w:hAnsi="Arial" w:cs="Arial"/>
          <w:b/>
          <w:sz w:val="24"/>
          <w:szCs w:val="24"/>
          <w:lang w:eastAsia="es-AR"/>
        </w:rPr>
        <w:t>Plazo para la presentación de candidaturas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: 20 de noviembre de 2012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4)</w:t>
      </w:r>
      <w:r w:rsidRPr="00D36AF8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Fecha de inicio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>: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 xml:space="preserve"> 15 de enero de 2013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 xml:space="preserve">5) </w:t>
      </w:r>
      <w:r w:rsidRPr="00D36AF8">
        <w:rPr>
          <w:rFonts w:ascii="Arial" w:eastAsia="Times New Roman" w:hAnsi="Arial" w:cs="Arial"/>
          <w:b/>
          <w:sz w:val="24"/>
          <w:szCs w:val="24"/>
          <w:lang w:eastAsia="es-AR"/>
        </w:rPr>
        <w:t>Duración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: 11.5 meses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 xml:space="preserve">6) </w:t>
      </w:r>
      <w:r w:rsidRPr="00D36AF8">
        <w:rPr>
          <w:rFonts w:ascii="Arial" w:eastAsia="Times New Roman" w:hAnsi="Arial" w:cs="Arial"/>
          <w:b/>
          <w:sz w:val="24"/>
          <w:szCs w:val="24"/>
          <w:lang w:eastAsia="es-AR"/>
        </w:rPr>
        <w:t>Objetivos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: Ofrecer la oportunidad a jóvenes periodistas o abogado/as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provenientes de los Estados Miembros de la OEA, de conocer y aplicar los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mecanismos de protección del Sistema Interamericano de Derechos Humanos en el área del derecho a la libertad de expresión.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 xml:space="preserve">7) </w:t>
      </w:r>
      <w:r w:rsidRPr="00D36AF8">
        <w:rPr>
          <w:rFonts w:ascii="Arial" w:eastAsia="Times New Roman" w:hAnsi="Arial" w:cs="Arial"/>
          <w:b/>
          <w:sz w:val="24"/>
          <w:szCs w:val="24"/>
          <w:lang w:eastAsia="es-AR"/>
        </w:rPr>
        <w:t>Programa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: Participar del trabajo de la Relatoría Especial para la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Libertad de Expresión, bajo la supervisión de la Relatora Especial. El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becario/a estará asignado/a a las actividades de monitoreo que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desarrolla la Relatoría Especial sobre la situación de la libertad de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expresión en el hemisferio. La beca es parte de un componente de un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proyecto más amplio que busca construir capacidades en la sociedad civil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para el monitoreo del derecho a la libertad de expresión y el uso de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mecanismos del sistema interamericano de protección de derechos humanos.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La Relatoría Especial para la Libertad de Expresión fue creada en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Octubre de 1997 como oficina permanente con independencia funcional, y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estructura operativa propia, con el propósito de estimular la defensa,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garantía y promoción de la libertad de expresión e información en el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 xml:space="preserve">hemisferio. En marzo de 1998, se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lastRenderedPageBreak/>
        <w:t>definió de manera general sus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características y funciones y se creó un fondo voluntario de asistencia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económica para su funcionamiento. Ver más información: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hyperlink r:id="rId6" w:tgtFrame="_blank" w:history="1">
        <w:r w:rsidRPr="00EA5CF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AR"/>
          </w:rPr>
          <w:t>www.cidh.org/relatoria</w:t>
        </w:r>
      </w:hyperlink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 xml:space="preserve">8) </w:t>
      </w:r>
      <w:r w:rsidRPr="00D36AF8">
        <w:rPr>
          <w:rFonts w:ascii="Arial" w:eastAsia="Times New Roman" w:hAnsi="Arial" w:cs="Arial"/>
          <w:b/>
          <w:sz w:val="24"/>
          <w:szCs w:val="24"/>
          <w:lang w:eastAsia="es-AR"/>
        </w:rPr>
        <w:t>Requisitos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: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• Ser ciudadano o ciudadana residente permanente de un Estado miembro de la OEA;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• Ser bilingüe en los idiomas español e inglés (adjuntar certificado que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lo acredite),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• Para los abogado/as ser graduado/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eastAsia="es-AR"/>
        </w:rPr>
        <w:t>a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eastAsia="es-AR"/>
        </w:rPr>
        <w:t xml:space="preserve"> en derecho de una universidad</w:t>
      </w:r>
      <w:r w:rsidR="00D36AF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oficialmente acreditada (enviar copia del título y calificaciones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obtenidas) y haber recibido el título universitario en derecho después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del primero de enero de 2004. El periodista puede haber estudiado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filosofía y letras, periodismo, ciencias políticas, ciencias sociales o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afines o tener una práctica demostrada de más de cuatros años en el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ejercicio del periodismo profesional. Los profesionales deben haber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recibido el título universitario después del primero de enero de 2004.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(enviar copia del título y calificaciones obtenidas o de las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certificaciones laborales respectivas);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• Interés profesional demostrable en el área de los derechos humanos,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preferiblemente en el campo del derecho a la libertad de expresión y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acceso a la información;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• Experiencia de al menos 6 meses en asuntos relacionados con el Sistema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Interamericano de Derechos Humanos;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• Presentar un trabajo de no más de cinco páginas no editado por otra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persona, sobre un tema de interés por parte del postulante en el ámbito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del derecho a la libertad de expresión.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Se valorará de manera especial: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• Conocimiento/experiencia sobre derechos humanos y población en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condición de vulnerabilidad;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• Conocimiento/experiencia en la preparación de investigaciones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académicas y/o periodísticas o análisis relacionadas directamente con la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libertad de la expresión;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• Trabajo con una ONG defensora de la libertad de prensa o libertad de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expresión; • Conocimientos de francés o portugués (idiomas oficiales de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la OEA).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 xml:space="preserve">9) </w:t>
      </w:r>
      <w:r w:rsidRPr="00D36AF8">
        <w:rPr>
          <w:rFonts w:ascii="Arial" w:eastAsia="Times New Roman" w:hAnsi="Arial" w:cs="Arial"/>
          <w:b/>
          <w:sz w:val="24"/>
          <w:szCs w:val="24"/>
          <w:lang w:eastAsia="es-AR"/>
        </w:rPr>
        <w:t>Documentos requeridos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: Los siguientes documentos son requeridos a fin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de ser considerado para la beca: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· Carta de presentación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· Formulario de Solicitud de Beca completado ( disponible en este LINK )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· Dos cartas de recomendación (se prefiere que al menos una provenga de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una ONG de libertad de expresión o derechos humanos en general)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 xml:space="preserve">·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eastAsia="es-AR"/>
        </w:rPr>
        <w:t>Curriculum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eastAsia="es-AR"/>
        </w:rPr>
        <w:t xml:space="preserve"> vitae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· Certificado acreditando el segundo idioma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· Para los abogado/as, copia del título de derecho, las calificaciones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obtenidas y constancia de registro como abogado/a ante los tribunales o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 xml:space="preserve">la entidad gremial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lastRenderedPageBreak/>
        <w:t>correspondiente. Para los demás profesionales, copia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de los títulos y calificaciones obtenidas o la certificación de la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experiencia profesional por mínimo cuatro años en el ejercicio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periodístico.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· Trabajo escrito hasta cinco páginas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 xml:space="preserve">10) </w:t>
      </w:r>
      <w:r w:rsidRPr="00D36AF8">
        <w:rPr>
          <w:rFonts w:ascii="Arial" w:eastAsia="Times New Roman" w:hAnsi="Arial" w:cs="Arial"/>
          <w:b/>
          <w:sz w:val="24"/>
          <w:szCs w:val="24"/>
          <w:lang w:eastAsia="es-AR"/>
        </w:rPr>
        <w:t>Beneficios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: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· La OEA proveerá un estipendio de US$3,000.00 mensuales en total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durante el período que cubre la beca-pasantía, o sea US$34,500.00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durante 11.5 meses. Con dicho estipendio, el becario es responsable de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adquirir una cobertura de salud de su elección por el tiempo de duración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de la beca, debiendo acreditar formalmente la referida adquisición ante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la Relatoría Especial para la Libertad de Expresión de la CIDH.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· Pasajes de ida y vuelta vía aérea, clase económica, desde el lugar de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residencia del becario a Washington, DC., USA. No se proveen fondos para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gastos terminales y de tránsito.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· La CIDH/Relator</w:t>
      </w:r>
      <w:r w:rsidR="00EA5CF8" w:rsidRPr="00EA5CF8">
        <w:rPr>
          <w:rFonts w:ascii="Arial" w:eastAsia="Times New Roman" w:hAnsi="Arial" w:cs="Arial"/>
          <w:sz w:val="24"/>
          <w:szCs w:val="24"/>
          <w:lang w:eastAsia="es-AR"/>
        </w:rPr>
        <w:t>í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a Especial para la Libertad de Expresión otorgará un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certificado de participación en el Programa de la Beca a los becarios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que cumplan satisfactoriamente el período completo de duración de la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Beca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 xml:space="preserve">11) </w:t>
      </w:r>
      <w:r w:rsidRPr="00D36AF8">
        <w:rPr>
          <w:rFonts w:ascii="Arial" w:eastAsia="Times New Roman" w:hAnsi="Arial" w:cs="Arial"/>
          <w:b/>
          <w:sz w:val="24"/>
          <w:szCs w:val="24"/>
          <w:lang w:eastAsia="es-AR"/>
        </w:rPr>
        <w:t>Responsabilidad de los candidatos seleccionados para dar inicio a la</w:t>
      </w:r>
      <w:r w:rsidRPr="00D36AF8">
        <w:rPr>
          <w:rFonts w:ascii="Arial" w:eastAsia="Times New Roman" w:hAnsi="Arial" w:cs="Arial"/>
          <w:b/>
          <w:sz w:val="24"/>
          <w:szCs w:val="24"/>
          <w:lang w:eastAsia="es-AR"/>
        </w:rPr>
        <w:br/>
        <w:t>Beca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: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· El /la candidato/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eastAsia="es-AR"/>
        </w:rPr>
        <w:t>a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eastAsia="es-AR"/>
        </w:rPr>
        <w:t xml:space="preserve"> luego de resultar seleccionado/a deberá notificar,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a la Relatoría Especial para la Libertad de Expresión de la Comisión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Interamericana de Derechos Humanos, su disponibilidad para realizar la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beca durante el período indicado, de tal manera que la Relatoría pueda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hacer los arreglos necesarios para la compra del boleto aéreo de ida y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vuelta -clase económica- entre el país de origen y la sede de la CIDH en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Washington DC 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· En el caso de que el/la candidato/a seleccionado haya aceptado la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beca, pero por razones ponderables no pueda posteriormente realizarla,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debe notificarlo inmediatamente a la Relator</w:t>
      </w:r>
      <w:r w:rsidR="00EA5CF8" w:rsidRPr="00EA5CF8">
        <w:rPr>
          <w:rFonts w:ascii="Arial" w:eastAsia="Times New Roman" w:hAnsi="Arial" w:cs="Arial"/>
          <w:sz w:val="24"/>
          <w:szCs w:val="24"/>
          <w:lang w:eastAsia="es-AR"/>
        </w:rPr>
        <w:t>í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a Especial para la Libertad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de Expresión de la Comisión Interamericana de Derechos Humanos , para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que esta oficina decida las acciones a tomar y realice las gestiones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pertinentes.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· Es responsabilidad de cada candidato seleccionado gestionar y obtener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de manera oportuna la(s) visa(s) correspondiente(s) para ingresar al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país de la beca y/o tránsito (si aplica). La OEA no solventará ningún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gasto relacionado con la tramitación de documentos migratorios o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visados. La Relator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>í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a Especial de la CIDH/OEA extenderá una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comunicación al candidato seleccionado certificando su selección como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becario oficial de la CIDH-OEA a fin de que solicite la visa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correspondiente, la cuál será de su absoluta responsabilidad.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· Es responsabilidad del candidato seleccionado llegar al lugar de la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beca con suficiente anticipación a fin de estar presente en el primer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día de inicio de la beca.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· Cuando un candidato/ha seleccionado/s declina la beca después de que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 xml:space="preserve">el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lastRenderedPageBreak/>
        <w:t>boleto ha sido comprado sin la debida autorización de la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CIDH/Relator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>í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a Especial, o no viaja en las fechas establecidas o cambia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la ruta, el candidato será responsable del costo del boleto aéreo o de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cualquier costo adicional en el que se incurra.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· Si el becario renuncia, cancela o termina la beca después de que el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programa ha iniciado, sin presentar pruebas suficientes de la causa a la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gramStart"/>
      <w:r w:rsidRPr="00EA5CF8">
        <w:rPr>
          <w:rFonts w:ascii="Arial" w:eastAsia="Times New Roman" w:hAnsi="Arial" w:cs="Arial"/>
          <w:sz w:val="24"/>
          <w:szCs w:val="24"/>
          <w:lang w:eastAsia="es-AR"/>
        </w:rPr>
        <w:t>CIDH ,</w:t>
      </w:r>
      <w:proofErr w:type="gramEnd"/>
      <w:r w:rsidRPr="00EA5CF8">
        <w:rPr>
          <w:rFonts w:ascii="Arial" w:eastAsia="Times New Roman" w:hAnsi="Arial" w:cs="Arial"/>
          <w:sz w:val="24"/>
          <w:szCs w:val="24"/>
          <w:lang w:eastAsia="es-AR"/>
        </w:rPr>
        <w:t xml:space="preserve"> ella/él deberá reembolsar a la Relatoría Especial de la CIDH/OEA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la totalidad de los gastos incurridos en su desplazamiento.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 xml:space="preserve">12) </w:t>
      </w:r>
      <w:r w:rsidRPr="00D36AF8">
        <w:rPr>
          <w:rFonts w:ascii="Arial" w:eastAsia="Times New Roman" w:hAnsi="Arial" w:cs="Arial"/>
          <w:b/>
          <w:sz w:val="24"/>
          <w:szCs w:val="24"/>
          <w:lang w:eastAsia="es-AR"/>
        </w:rPr>
        <w:t>Presentación de solicitudes de becas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: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El Formulario de Solicitud de Beca y los otros documentos requeridos en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las secciones 8 y 9 se deben enviar a la Relator</w:t>
      </w:r>
      <w:r w:rsidR="00EA5CF8" w:rsidRPr="00EA5CF8">
        <w:rPr>
          <w:rFonts w:ascii="Arial" w:eastAsia="Times New Roman" w:hAnsi="Arial" w:cs="Arial"/>
          <w:sz w:val="24"/>
          <w:szCs w:val="24"/>
          <w:lang w:eastAsia="es-AR"/>
        </w:rPr>
        <w:t>í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a Especial para la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Libertad de Expresión de la CIDH, antes de la fecha del cierre de plazo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de la convocatoria, por correo electrónico, fax o correo postal: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Relator</w:t>
      </w:r>
      <w:r w:rsidR="00EA5CF8" w:rsidRPr="00EA5CF8">
        <w:rPr>
          <w:rFonts w:ascii="Arial" w:eastAsia="Times New Roman" w:hAnsi="Arial" w:cs="Arial"/>
          <w:sz w:val="24"/>
          <w:szCs w:val="24"/>
          <w:lang w:eastAsia="es-AR"/>
        </w:rPr>
        <w:t>í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a Especial para la Libertad de Expresión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Comisión Interamericana de Derechos Humanos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 xml:space="preserve">1889 F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eastAsia="es-AR"/>
        </w:rPr>
        <w:t>Street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eastAsia="es-AR"/>
        </w:rPr>
        <w:t>, N.W., Washington, D.C., 20006, U.S.A.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hyperlink r:id="rId7" w:tgtFrame="_blank" w:history="1">
        <w:r w:rsidRPr="00EA5CF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AR"/>
          </w:rPr>
          <w:t>CIDHRelainformes@oas.org</w:t>
        </w:r>
      </w:hyperlink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  <w:t>Teléfono: 202-458-3647 - Fax: 202-458-6215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D36AF8">
        <w:rPr>
          <w:rFonts w:ascii="Arial" w:eastAsia="Times New Roman" w:hAnsi="Arial" w:cs="Arial"/>
          <w:b/>
          <w:sz w:val="24"/>
          <w:szCs w:val="24"/>
          <w:lang w:eastAsia="es-AR"/>
        </w:rPr>
        <w:t>AVISO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: Esta beca se ofrece gracias al aporte de la Confederación Suiza,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en el marco de ejecución del proyecto “Monitoreo de la situación de la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libertad de expresión en las Américas e informe anual de la Relator</w:t>
      </w:r>
      <w:r w:rsidR="00EA5CF8" w:rsidRPr="00EA5CF8">
        <w:rPr>
          <w:rFonts w:ascii="Arial" w:eastAsia="Times New Roman" w:hAnsi="Arial" w:cs="Arial"/>
          <w:sz w:val="24"/>
          <w:szCs w:val="24"/>
          <w:lang w:eastAsia="es-AR"/>
        </w:rPr>
        <w:t>í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95416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t xml:space="preserve">Especial para la Libertad de Expresión enero 2012- diciembre </w:t>
      </w:r>
      <w:proofErr w:type="gramStart"/>
      <w:r w:rsidRPr="00EA5CF8">
        <w:rPr>
          <w:rFonts w:ascii="Arial" w:eastAsia="Times New Roman" w:hAnsi="Arial" w:cs="Arial"/>
          <w:sz w:val="24"/>
          <w:szCs w:val="24"/>
          <w:lang w:eastAsia="es-AR"/>
        </w:rPr>
        <w:t>2013 ”</w:t>
      </w:r>
      <w:proofErr w:type="gramEnd"/>
      <w:r w:rsidRPr="00EA5CF8">
        <w:rPr>
          <w:rFonts w:ascii="Arial" w:eastAsia="Times New Roman" w:hAnsi="Arial" w:cs="Arial"/>
          <w:sz w:val="24"/>
          <w:szCs w:val="24"/>
          <w:lang w:eastAsia="es-AR"/>
        </w:rPr>
        <w:t>.</w:t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eastAsia="es-AR"/>
        </w:rPr>
        <w:br/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Qui</w:t>
      </w:r>
      <w:r w:rsidR="0095416D">
        <w:rPr>
          <w:rFonts w:ascii="Arial" w:eastAsia="Times New Roman" w:hAnsi="Arial" w:cs="Arial"/>
          <w:sz w:val="24"/>
          <w:szCs w:val="24"/>
          <w:lang w:val="en-US" w:eastAsia="es-AR"/>
        </w:rPr>
        <w:t>é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n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fu</w:t>
      </w:r>
      <w:r w:rsidR="0095416D">
        <w:rPr>
          <w:rFonts w:ascii="Arial" w:eastAsia="Times New Roman" w:hAnsi="Arial" w:cs="Arial"/>
          <w:sz w:val="24"/>
          <w:szCs w:val="24"/>
          <w:lang w:val="en-US" w:eastAsia="es-AR"/>
        </w:rPr>
        <w:t>é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Orlando Sierra?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</w:p>
    <w:p w:rsidR="00D36AF8" w:rsidRDefault="00D36AF8" w:rsidP="003F7DED">
      <w:pPr>
        <w:pStyle w:val="Prrafodelista"/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val="en-US" w:eastAsia="es-AR"/>
        </w:rPr>
      </w:pPr>
    </w:p>
    <w:p w:rsidR="00D36AF8" w:rsidRDefault="00D36AF8" w:rsidP="003F7DED">
      <w:pPr>
        <w:pStyle w:val="Prrafodelista"/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val="en-US" w:eastAsia="es-AR"/>
        </w:rPr>
      </w:pPr>
    </w:p>
    <w:p w:rsidR="00D36AF8" w:rsidRDefault="00D36AF8" w:rsidP="003F7DED">
      <w:pPr>
        <w:pStyle w:val="Prrafodelista"/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val="en-US" w:eastAsia="es-AR"/>
        </w:rPr>
      </w:pPr>
    </w:p>
    <w:p w:rsidR="00D36AF8" w:rsidRDefault="00D36AF8" w:rsidP="003F7DED">
      <w:pPr>
        <w:pStyle w:val="Prrafodelista"/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val="en-US" w:eastAsia="es-AR"/>
        </w:rPr>
      </w:pPr>
    </w:p>
    <w:p w:rsidR="00D36AF8" w:rsidRDefault="00D36AF8" w:rsidP="003F7DED">
      <w:pPr>
        <w:pStyle w:val="Prrafodelista"/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val="en-US" w:eastAsia="es-AR"/>
        </w:rPr>
      </w:pPr>
    </w:p>
    <w:p w:rsidR="00D36AF8" w:rsidRDefault="00D36AF8" w:rsidP="003F7DED">
      <w:pPr>
        <w:pStyle w:val="Prrafodelista"/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val="en-US" w:eastAsia="es-AR"/>
        </w:rPr>
      </w:pPr>
    </w:p>
    <w:p w:rsidR="00D36AF8" w:rsidRDefault="00D36AF8" w:rsidP="003F7DED">
      <w:pPr>
        <w:pStyle w:val="Prrafodelista"/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val="en-US" w:eastAsia="es-AR"/>
        </w:rPr>
      </w:pPr>
    </w:p>
    <w:sectPr w:rsidR="00D36AF8" w:rsidSect="00EA5CF8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DFD"/>
    <w:multiLevelType w:val="hybridMultilevel"/>
    <w:tmpl w:val="B374DC0A"/>
    <w:lvl w:ilvl="0" w:tplc="CC3A8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10210"/>
    <w:multiLevelType w:val="hybridMultilevel"/>
    <w:tmpl w:val="DC60EC54"/>
    <w:lvl w:ilvl="0" w:tplc="8494C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744A2"/>
    <w:rsid w:val="00253380"/>
    <w:rsid w:val="003F7DED"/>
    <w:rsid w:val="0057203E"/>
    <w:rsid w:val="006744A2"/>
    <w:rsid w:val="0095416D"/>
    <w:rsid w:val="00D36AF8"/>
    <w:rsid w:val="00EA5CF8"/>
    <w:rsid w:val="00F6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44A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4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3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DHRelainformes@o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dh.org/relatoria" TargetMode="External"/><Relationship Id="rId5" Type="http://schemas.openxmlformats.org/officeDocument/2006/relationships/hyperlink" Target="mailto:CIDHRelainformes@oa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1377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2012-10-22T11:02:00Z</dcterms:created>
  <dcterms:modified xsi:type="dcterms:W3CDTF">2012-10-22T12:13:00Z</dcterms:modified>
</cp:coreProperties>
</file>