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E6A" w:rsidRDefault="00B43B3E" w:rsidP="00B43B3E">
      <w:pPr>
        <w:jc w:val="center"/>
        <w:rPr>
          <w:b/>
          <w:bCs/>
          <w:sz w:val="24"/>
          <w:szCs w:val="24"/>
          <w:u w:val="single"/>
        </w:rPr>
      </w:pPr>
      <w:r w:rsidRPr="00B43B3E">
        <w:rPr>
          <w:b/>
          <w:bCs/>
          <w:sz w:val="24"/>
          <w:szCs w:val="24"/>
          <w:u w:val="single"/>
        </w:rPr>
        <w:t>Mecanismo Interno de Distribución</w:t>
      </w:r>
      <w:r w:rsidR="00736E6A">
        <w:rPr>
          <w:b/>
          <w:bCs/>
          <w:sz w:val="24"/>
          <w:szCs w:val="24"/>
          <w:u w:val="single"/>
        </w:rPr>
        <w:t xml:space="preserve"> </w:t>
      </w:r>
    </w:p>
    <w:p w:rsidR="00736E6A" w:rsidRDefault="00736E6A" w:rsidP="00B43B3E">
      <w:pPr>
        <w:jc w:val="center"/>
        <w:rPr>
          <w:b/>
          <w:bCs/>
          <w:sz w:val="24"/>
          <w:szCs w:val="24"/>
          <w:u w:val="single"/>
        </w:rPr>
      </w:pPr>
    </w:p>
    <w:p w:rsidR="00B43B3E" w:rsidRDefault="00736E6A" w:rsidP="00B43B3E">
      <w:pPr>
        <w:jc w:val="center"/>
        <w:rPr>
          <w:b/>
          <w:bCs/>
          <w:sz w:val="24"/>
          <w:szCs w:val="24"/>
          <w:u w:val="single"/>
        </w:rPr>
      </w:pPr>
      <w:r>
        <w:rPr>
          <w:b/>
          <w:bCs/>
          <w:sz w:val="24"/>
          <w:szCs w:val="24"/>
          <w:u w:val="single"/>
        </w:rPr>
        <w:t>Becas CIN Estímulo a las Vocaciones Científicas Convocatoria 201</w:t>
      </w:r>
      <w:r w:rsidR="00963ACA">
        <w:rPr>
          <w:b/>
          <w:bCs/>
          <w:sz w:val="24"/>
          <w:szCs w:val="24"/>
          <w:u w:val="single"/>
        </w:rPr>
        <w:t>4</w:t>
      </w:r>
      <w:r w:rsidR="00A63EDE">
        <w:rPr>
          <w:b/>
          <w:bCs/>
          <w:sz w:val="24"/>
          <w:szCs w:val="24"/>
          <w:u w:val="single"/>
        </w:rPr>
        <w:t xml:space="preserve"> y siguientes</w:t>
      </w:r>
    </w:p>
    <w:p w:rsidR="00B43B3E" w:rsidRDefault="00B43B3E" w:rsidP="00B43B3E">
      <w:pPr>
        <w:jc w:val="center"/>
        <w:rPr>
          <w:b/>
          <w:bCs/>
          <w:sz w:val="24"/>
          <w:szCs w:val="24"/>
          <w:u w:val="single"/>
        </w:rPr>
      </w:pPr>
    </w:p>
    <w:p w:rsidR="00413618" w:rsidRDefault="00B43B3E" w:rsidP="00B75B77">
      <w:pPr>
        <w:jc w:val="both"/>
        <w:rPr>
          <w:sz w:val="24"/>
          <w:szCs w:val="24"/>
        </w:rPr>
      </w:pPr>
      <w:r>
        <w:rPr>
          <w:sz w:val="24"/>
          <w:szCs w:val="24"/>
        </w:rPr>
        <w:t xml:space="preserve">Visto </w:t>
      </w:r>
      <w:r w:rsidR="00736E6A">
        <w:rPr>
          <w:sz w:val="24"/>
          <w:szCs w:val="24"/>
        </w:rPr>
        <w:t>la Resolución de Presidencia del</w:t>
      </w:r>
      <w:r>
        <w:rPr>
          <w:sz w:val="24"/>
          <w:szCs w:val="24"/>
        </w:rPr>
        <w:t xml:space="preserve"> CIN Nº </w:t>
      </w:r>
      <w:r w:rsidR="00736E6A" w:rsidRPr="00AE02E5">
        <w:rPr>
          <w:sz w:val="24"/>
          <w:szCs w:val="24"/>
        </w:rPr>
        <w:t>2</w:t>
      </w:r>
      <w:r w:rsidR="00AE02E5" w:rsidRPr="00AE02E5">
        <w:rPr>
          <w:sz w:val="24"/>
          <w:szCs w:val="24"/>
        </w:rPr>
        <w:t>59</w:t>
      </w:r>
      <w:r w:rsidR="00736E6A" w:rsidRPr="00AE02E5">
        <w:rPr>
          <w:sz w:val="24"/>
          <w:szCs w:val="24"/>
        </w:rPr>
        <w:t>/1</w:t>
      </w:r>
      <w:r w:rsidR="00AE02E5">
        <w:rPr>
          <w:sz w:val="24"/>
          <w:szCs w:val="24"/>
        </w:rPr>
        <w:t>4</w:t>
      </w:r>
      <w:r>
        <w:rPr>
          <w:sz w:val="24"/>
          <w:szCs w:val="24"/>
        </w:rPr>
        <w:t xml:space="preserve">, por </w:t>
      </w:r>
      <w:r w:rsidR="00736E6A">
        <w:rPr>
          <w:sz w:val="24"/>
          <w:szCs w:val="24"/>
        </w:rPr>
        <w:t>la</w:t>
      </w:r>
      <w:r>
        <w:rPr>
          <w:sz w:val="24"/>
          <w:szCs w:val="24"/>
        </w:rPr>
        <w:t xml:space="preserve"> </w:t>
      </w:r>
      <w:r w:rsidR="00972FE4">
        <w:rPr>
          <w:sz w:val="24"/>
          <w:szCs w:val="24"/>
        </w:rPr>
        <w:t xml:space="preserve">que </w:t>
      </w:r>
      <w:r>
        <w:rPr>
          <w:sz w:val="24"/>
          <w:szCs w:val="24"/>
        </w:rPr>
        <w:t xml:space="preserve">se aprueban </w:t>
      </w:r>
      <w:r w:rsidR="00736E6A">
        <w:rPr>
          <w:sz w:val="24"/>
          <w:szCs w:val="24"/>
        </w:rPr>
        <w:t xml:space="preserve">la Convocatoria </w:t>
      </w:r>
      <w:r w:rsidR="00736E6A" w:rsidRPr="00C54B6C">
        <w:rPr>
          <w:sz w:val="24"/>
          <w:szCs w:val="24"/>
        </w:rPr>
        <w:t>201</w:t>
      </w:r>
      <w:r w:rsidR="00963ACA">
        <w:rPr>
          <w:sz w:val="24"/>
          <w:szCs w:val="24"/>
        </w:rPr>
        <w:t>4</w:t>
      </w:r>
      <w:r w:rsidR="00736E6A" w:rsidRPr="00C54B6C">
        <w:rPr>
          <w:sz w:val="24"/>
          <w:szCs w:val="24"/>
        </w:rPr>
        <w:t xml:space="preserve"> del Programa de Becas de Estímulo a las Vocaciones Científicas</w:t>
      </w:r>
      <w:r w:rsidR="00AE02E5">
        <w:rPr>
          <w:sz w:val="24"/>
          <w:szCs w:val="24"/>
        </w:rPr>
        <w:t xml:space="preserve">, </w:t>
      </w:r>
      <w:r w:rsidR="00736E6A">
        <w:rPr>
          <w:sz w:val="24"/>
          <w:szCs w:val="24"/>
        </w:rPr>
        <w:t xml:space="preserve"> </w:t>
      </w:r>
      <w:r w:rsidR="00413618">
        <w:rPr>
          <w:sz w:val="24"/>
          <w:szCs w:val="24"/>
        </w:rPr>
        <w:t xml:space="preserve">las Bases para la </w:t>
      </w:r>
      <w:r w:rsidR="00972FE4">
        <w:rPr>
          <w:sz w:val="24"/>
          <w:szCs w:val="24"/>
        </w:rPr>
        <w:t>misma</w:t>
      </w:r>
      <w:r w:rsidR="00413618">
        <w:rPr>
          <w:sz w:val="24"/>
          <w:szCs w:val="24"/>
        </w:rPr>
        <w:t xml:space="preserve">, cronograma </w:t>
      </w:r>
      <w:r>
        <w:rPr>
          <w:sz w:val="24"/>
          <w:szCs w:val="24"/>
        </w:rPr>
        <w:t xml:space="preserve">, </w:t>
      </w:r>
      <w:r w:rsidR="00413618">
        <w:rPr>
          <w:sz w:val="24"/>
          <w:szCs w:val="24"/>
        </w:rPr>
        <w:t xml:space="preserve">instructivo </w:t>
      </w:r>
      <w:r w:rsidR="00413618" w:rsidRPr="00C54B6C">
        <w:rPr>
          <w:sz w:val="24"/>
          <w:szCs w:val="24"/>
        </w:rPr>
        <w:t>y demás elementos necesarios para llevarla a cabo;</w:t>
      </w:r>
      <w:r w:rsidR="00413618">
        <w:rPr>
          <w:sz w:val="24"/>
          <w:szCs w:val="24"/>
        </w:rPr>
        <w:t xml:space="preserve"> </w:t>
      </w:r>
      <w:r w:rsidR="00B75B77">
        <w:rPr>
          <w:sz w:val="24"/>
          <w:szCs w:val="24"/>
        </w:rPr>
        <w:t xml:space="preserve">y de acuerdo a lo establecido en el </w:t>
      </w:r>
      <w:r w:rsidR="00AE02E5">
        <w:rPr>
          <w:sz w:val="24"/>
          <w:szCs w:val="24"/>
        </w:rPr>
        <w:t xml:space="preserve">punto 1 del </w:t>
      </w:r>
      <w:r w:rsidR="00B75B77" w:rsidRPr="00AE02E5">
        <w:rPr>
          <w:sz w:val="24"/>
          <w:szCs w:val="24"/>
        </w:rPr>
        <w:t xml:space="preserve"> Instructivo </w:t>
      </w:r>
      <w:r w:rsidR="00413618" w:rsidRPr="00AE02E5">
        <w:rPr>
          <w:sz w:val="24"/>
          <w:szCs w:val="24"/>
        </w:rPr>
        <w:t xml:space="preserve">y en </w:t>
      </w:r>
      <w:r w:rsidR="00AE02E5">
        <w:rPr>
          <w:sz w:val="24"/>
          <w:szCs w:val="24"/>
        </w:rPr>
        <w:t xml:space="preserve">el </w:t>
      </w:r>
      <w:r w:rsidR="00413618" w:rsidRPr="00AE02E5">
        <w:rPr>
          <w:sz w:val="24"/>
          <w:szCs w:val="24"/>
        </w:rPr>
        <w:t xml:space="preserve"> </w:t>
      </w:r>
      <w:r w:rsidR="00AE02E5">
        <w:rPr>
          <w:sz w:val="24"/>
          <w:szCs w:val="24"/>
        </w:rPr>
        <w:t>artículo 5º del Reglamento vigente para dicha convocatoria aprobado mediante Acuerdo Plenario Nº 899/14</w:t>
      </w:r>
      <w:r w:rsidR="00B75B77">
        <w:rPr>
          <w:sz w:val="24"/>
          <w:szCs w:val="24"/>
        </w:rPr>
        <w:t>, esta Universidad procede a proponer la modalidad de distribución interna que adoptará para el otorgamiento del cupo correspondiente a la misma.</w:t>
      </w:r>
      <w:r w:rsidR="00AE02E5">
        <w:rPr>
          <w:sz w:val="24"/>
          <w:szCs w:val="24"/>
        </w:rPr>
        <w:t xml:space="preserve">  </w:t>
      </w:r>
    </w:p>
    <w:p w:rsidR="00AE02E5" w:rsidRDefault="00AE02E5" w:rsidP="00B75B77">
      <w:pPr>
        <w:jc w:val="both"/>
        <w:rPr>
          <w:sz w:val="24"/>
          <w:szCs w:val="24"/>
        </w:rPr>
      </w:pPr>
    </w:p>
    <w:p w:rsidR="00B75B77" w:rsidRDefault="00B75B77" w:rsidP="00B75B77">
      <w:pPr>
        <w:numPr>
          <w:ilvl w:val="0"/>
          <w:numId w:val="4"/>
        </w:numPr>
        <w:jc w:val="both"/>
        <w:rPr>
          <w:sz w:val="24"/>
          <w:szCs w:val="24"/>
        </w:rPr>
      </w:pPr>
      <w:r>
        <w:rPr>
          <w:sz w:val="24"/>
          <w:szCs w:val="24"/>
        </w:rPr>
        <w:t xml:space="preserve">Del cupo total se distribuirán una por cada Unidad Académica de la Universidad </w:t>
      </w:r>
      <w:r w:rsidR="00461BE5">
        <w:rPr>
          <w:sz w:val="24"/>
          <w:szCs w:val="24"/>
        </w:rPr>
        <w:t>cuyos</w:t>
      </w:r>
      <w:r>
        <w:rPr>
          <w:sz w:val="24"/>
          <w:szCs w:val="24"/>
        </w:rPr>
        <w:t xml:space="preserve"> postulantes</w:t>
      </w:r>
      <w:r w:rsidR="00461BE5">
        <w:rPr>
          <w:sz w:val="24"/>
          <w:szCs w:val="24"/>
        </w:rPr>
        <w:t xml:space="preserve"> integren el orden de mérito elaborado por las Comisiones Evaluadoras y aprobado por la Comisión de Ciencia y Técnica</w:t>
      </w:r>
      <w:r>
        <w:rPr>
          <w:sz w:val="24"/>
          <w:szCs w:val="24"/>
        </w:rPr>
        <w:t xml:space="preserve">. </w:t>
      </w:r>
      <w:r w:rsidR="00ED2DFC">
        <w:rPr>
          <w:sz w:val="24"/>
          <w:szCs w:val="24"/>
        </w:rPr>
        <w:t xml:space="preserve">Para la selección de cada candidato por Unidad Académica se utilizará el orden de mérito. Así se seleccionará por cada Unidad Académica al primer candidato en el orden de mérito con lugar de trabajo en esa Unidad Académica. </w:t>
      </w:r>
      <w:r>
        <w:rPr>
          <w:sz w:val="24"/>
          <w:szCs w:val="24"/>
        </w:rPr>
        <w:t xml:space="preserve">Cabe destacar que esta Universidad cuenta con 10 (diez) Unidades Académicas a saber: </w:t>
      </w:r>
    </w:p>
    <w:p w:rsidR="00B75B77" w:rsidRDefault="00B75B77" w:rsidP="00B75B77">
      <w:pPr>
        <w:rPr>
          <w:sz w:val="24"/>
          <w:szCs w:val="24"/>
        </w:rPr>
      </w:pPr>
    </w:p>
    <w:p w:rsidR="00B75B77" w:rsidRDefault="00B75B77" w:rsidP="00B75B77">
      <w:pPr>
        <w:numPr>
          <w:ilvl w:val="0"/>
          <w:numId w:val="5"/>
        </w:numPr>
        <w:rPr>
          <w:sz w:val="24"/>
          <w:szCs w:val="24"/>
        </w:rPr>
      </w:pPr>
      <w:r w:rsidRPr="00B75B77">
        <w:rPr>
          <w:sz w:val="24"/>
          <w:szCs w:val="24"/>
        </w:rPr>
        <w:t>Facultad</w:t>
      </w:r>
      <w:r>
        <w:rPr>
          <w:sz w:val="24"/>
          <w:szCs w:val="24"/>
        </w:rPr>
        <w:t xml:space="preserve"> de Agronomía.</w:t>
      </w:r>
    </w:p>
    <w:p w:rsidR="00B75B77" w:rsidRDefault="00B75B77" w:rsidP="00B75B77">
      <w:pPr>
        <w:numPr>
          <w:ilvl w:val="0"/>
          <w:numId w:val="5"/>
        </w:numPr>
        <w:rPr>
          <w:sz w:val="24"/>
          <w:szCs w:val="24"/>
        </w:rPr>
      </w:pPr>
      <w:r>
        <w:rPr>
          <w:sz w:val="24"/>
          <w:szCs w:val="24"/>
        </w:rPr>
        <w:t>Facultad de Arte</w:t>
      </w:r>
      <w:r w:rsidR="003C3558">
        <w:rPr>
          <w:sz w:val="24"/>
          <w:szCs w:val="24"/>
        </w:rPr>
        <w:t>.</w:t>
      </w:r>
    </w:p>
    <w:p w:rsidR="00B75B77" w:rsidRDefault="00B75B77" w:rsidP="00B75B77">
      <w:pPr>
        <w:numPr>
          <w:ilvl w:val="0"/>
          <w:numId w:val="5"/>
        </w:numPr>
        <w:rPr>
          <w:sz w:val="24"/>
          <w:szCs w:val="24"/>
        </w:rPr>
      </w:pPr>
      <w:r>
        <w:rPr>
          <w:sz w:val="24"/>
          <w:szCs w:val="24"/>
        </w:rPr>
        <w:t>Facultad de Ciencias Económicas.</w:t>
      </w:r>
    </w:p>
    <w:p w:rsidR="00B75B77" w:rsidRDefault="00B75B77" w:rsidP="00B75B77">
      <w:pPr>
        <w:numPr>
          <w:ilvl w:val="0"/>
          <w:numId w:val="5"/>
        </w:numPr>
        <w:rPr>
          <w:sz w:val="24"/>
          <w:szCs w:val="24"/>
        </w:rPr>
      </w:pPr>
      <w:r>
        <w:rPr>
          <w:sz w:val="24"/>
          <w:szCs w:val="24"/>
        </w:rPr>
        <w:t>Facultad de Ciencias Exactas.</w:t>
      </w:r>
    </w:p>
    <w:p w:rsidR="00B75B77" w:rsidRDefault="00B75B77" w:rsidP="00B75B77">
      <w:pPr>
        <w:numPr>
          <w:ilvl w:val="0"/>
          <w:numId w:val="5"/>
        </w:numPr>
        <w:rPr>
          <w:sz w:val="24"/>
          <w:szCs w:val="24"/>
        </w:rPr>
      </w:pPr>
      <w:r>
        <w:rPr>
          <w:sz w:val="24"/>
          <w:szCs w:val="24"/>
        </w:rPr>
        <w:t>Facultad de Ciencias Humanas.</w:t>
      </w:r>
    </w:p>
    <w:p w:rsidR="00B75B77" w:rsidRDefault="00B75B77" w:rsidP="00B75B77">
      <w:pPr>
        <w:numPr>
          <w:ilvl w:val="0"/>
          <w:numId w:val="5"/>
        </w:numPr>
        <w:rPr>
          <w:sz w:val="24"/>
          <w:szCs w:val="24"/>
        </w:rPr>
      </w:pPr>
      <w:r>
        <w:rPr>
          <w:sz w:val="24"/>
          <w:szCs w:val="24"/>
        </w:rPr>
        <w:t>Facultad de Ciencias Sociales.</w:t>
      </w:r>
    </w:p>
    <w:p w:rsidR="00B75B77" w:rsidRDefault="00B75B77" w:rsidP="00B75B77">
      <w:pPr>
        <w:numPr>
          <w:ilvl w:val="0"/>
          <w:numId w:val="5"/>
        </w:numPr>
        <w:rPr>
          <w:sz w:val="24"/>
          <w:szCs w:val="24"/>
        </w:rPr>
      </w:pPr>
      <w:r>
        <w:rPr>
          <w:sz w:val="24"/>
          <w:szCs w:val="24"/>
        </w:rPr>
        <w:t>Facultad de Ciencias Veterinarias</w:t>
      </w:r>
    </w:p>
    <w:p w:rsidR="00B75B77" w:rsidRDefault="00B75B77" w:rsidP="00B75B77">
      <w:pPr>
        <w:numPr>
          <w:ilvl w:val="0"/>
          <w:numId w:val="5"/>
        </w:numPr>
        <w:rPr>
          <w:sz w:val="24"/>
          <w:szCs w:val="24"/>
        </w:rPr>
      </w:pPr>
      <w:r>
        <w:rPr>
          <w:sz w:val="24"/>
          <w:szCs w:val="24"/>
        </w:rPr>
        <w:t>Facultad de Derecho.</w:t>
      </w:r>
    </w:p>
    <w:p w:rsidR="00B75B77" w:rsidRDefault="00B75B77" w:rsidP="00B75B77">
      <w:pPr>
        <w:numPr>
          <w:ilvl w:val="0"/>
          <w:numId w:val="5"/>
        </w:numPr>
        <w:rPr>
          <w:sz w:val="24"/>
          <w:szCs w:val="24"/>
        </w:rPr>
      </w:pPr>
      <w:r>
        <w:rPr>
          <w:sz w:val="24"/>
          <w:szCs w:val="24"/>
        </w:rPr>
        <w:t>Facultad de Ingeniería.</w:t>
      </w:r>
    </w:p>
    <w:p w:rsidR="00B75B77" w:rsidRDefault="00B75B77" w:rsidP="00B75B77">
      <w:pPr>
        <w:numPr>
          <w:ilvl w:val="0"/>
          <w:numId w:val="5"/>
        </w:numPr>
        <w:rPr>
          <w:sz w:val="24"/>
          <w:szCs w:val="24"/>
        </w:rPr>
      </w:pPr>
      <w:r>
        <w:rPr>
          <w:sz w:val="24"/>
          <w:szCs w:val="24"/>
        </w:rPr>
        <w:t>Escuela Superior de Ciencias de la Salud.</w:t>
      </w:r>
    </w:p>
    <w:p w:rsidR="00B75B77" w:rsidRDefault="00B75B77" w:rsidP="00B75B77">
      <w:pPr>
        <w:rPr>
          <w:sz w:val="24"/>
          <w:szCs w:val="24"/>
        </w:rPr>
      </w:pPr>
    </w:p>
    <w:p w:rsidR="00B75B77" w:rsidRDefault="00B75B77" w:rsidP="00461BE5">
      <w:pPr>
        <w:ind w:firstLine="709"/>
        <w:jc w:val="both"/>
        <w:rPr>
          <w:sz w:val="24"/>
          <w:szCs w:val="24"/>
        </w:rPr>
      </w:pPr>
      <w:r>
        <w:rPr>
          <w:sz w:val="24"/>
          <w:szCs w:val="24"/>
        </w:rPr>
        <w:t xml:space="preserve">Si </w:t>
      </w:r>
      <w:r w:rsidR="00461BE5">
        <w:rPr>
          <w:sz w:val="24"/>
          <w:szCs w:val="24"/>
        </w:rPr>
        <w:t>los postulantes presentados por una</w:t>
      </w:r>
      <w:r>
        <w:rPr>
          <w:sz w:val="24"/>
          <w:szCs w:val="24"/>
        </w:rPr>
        <w:t xml:space="preserve"> Unidad Académica </w:t>
      </w:r>
      <w:r w:rsidR="00461BE5">
        <w:rPr>
          <w:sz w:val="24"/>
          <w:szCs w:val="24"/>
        </w:rPr>
        <w:t xml:space="preserve">no hubieren formado parte del orden de mérito, </w:t>
      </w:r>
      <w:r w:rsidR="00ED2DFC">
        <w:rPr>
          <w:sz w:val="24"/>
          <w:szCs w:val="24"/>
        </w:rPr>
        <w:t xml:space="preserve"> o una Unidad Académica no hubiera presentado candidatos,</w:t>
      </w:r>
      <w:r>
        <w:rPr>
          <w:sz w:val="24"/>
          <w:szCs w:val="24"/>
        </w:rPr>
        <w:t xml:space="preserve"> el cupo </w:t>
      </w:r>
      <w:r w:rsidR="00461BE5">
        <w:rPr>
          <w:sz w:val="24"/>
          <w:szCs w:val="24"/>
        </w:rPr>
        <w:t xml:space="preserve">correspondiente a </w:t>
      </w:r>
      <w:r>
        <w:rPr>
          <w:sz w:val="24"/>
          <w:szCs w:val="24"/>
        </w:rPr>
        <w:t xml:space="preserve">la misma pasará a integrar </w:t>
      </w:r>
      <w:r w:rsidR="00461BE5">
        <w:rPr>
          <w:sz w:val="24"/>
          <w:szCs w:val="24"/>
        </w:rPr>
        <w:t>el cupo que</w:t>
      </w:r>
      <w:r>
        <w:rPr>
          <w:sz w:val="24"/>
          <w:szCs w:val="24"/>
        </w:rPr>
        <w:t xml:space="preserve"> se distribuirá según el punto 2.</w:t>
      </w:r>
    </w:p>
    <w:p w:rsidR="00B75B77" w:rsidRDefault="00B75B77" w:rsidP="00B75B77">
      <w:pPr>
        <w:rPr>
          <w:sz w:val="24"/>
          <w:szCs w:val="24"/>
        </w:rPr>
      </w:pPr>
    </w:p>
    <w:p w:rsidR="005F3B1E" w:rsidRDefault="00461BE5" w:rsidP="003C3558">
      <w:pPr>
        <w:numPr>
          <w:ilvl w:val="0"/>
          <w:numId w:val="4"/>
        </w:numPr>
        <w:jc w:val="both"/>
        <w:rPr>
          <w:sz w:val="24"/>
          <w:szCs w:val="24"/>
        </w:rPr>
      </w:pPr>
      <w:r>
        <w:rPr>
          <w:sz w:val="24"/>
          <w:szCs w:val="24"/>
        </w:rPr>
        <w:t xml:space="preserve">Del total de becas asignadas según el punto 1, </w:t>
      </w:r>
      <w:r w:rsidR="005F3B1E">
        <w:rPr>
          <w:sz w:val="24"/>
          <w:szCs w:val="24"/>
        </w:rPr>
        <w:t xml:space="preserve">si </w:t>
      </w:r>
      <w:r>
        <w:rPr>
          <w:sz w:val="24"/>
          <w:szCs w:val="24"/>
        </w:rPr>
        <w:t>las restantes</w:t>
      </w:r>
      <w:r w:rsidR="005F3B1E">
        <w:rPr>
          <w:sz w:val="24"/>
          <w:szCs w:val="24"/>
        </w:rPr>
        <w:t xml:space="preserve"> alcanzan para volver a utilizar el criterio del punto 1 se utilizará dicho mecanismo para</w:t>
      </w:r>
      <w:r w:rsidR="00690797">
        <w:rPr>
          <w:sz w:val="24"/>
          <w:szCs w:val="24"/>
        </w:rPr>
        <w:t xml:space="preserve"> distribuir las becas restantes, sino cuando ese punto no sea aplicable se distribuirán de acuerdo al orden de mérito.</w:t>
      </w:r>
    </w:p>
    <w:p w:rsidR="00B75B77" w:rsidRDefault="00B75B77" w:rsidP="00B75B77">
      <w:pPr>
        <w:rPr>
          <w:sz w:val="24"/>
          <w:szCs w:val="24"/>
        </w:rPr>
      </w:pPr>
    </w:p>
    <w:p w:rsidR="005B1EA3" w:rsidRDefault="005B1EA3" w:rsidP="00B75B77">
      <w:pPr>
        <w:rPr>
          <w:sz w:val="24"/>
          <w:szCs w:val="24"/>
        </w:rPr>
      </w:pPr>
    </w:p>
    <w:p w:rsidR="005B1EA3" w:rsidRDefault="005B1EA3" w:rsidP="005B1EA3">
      <w:pPr>
        <w:ind w:left="3540"/>
        <w:rPr>
          <w:sz w:val="24"/>
          <w:szCs w:val="24"/>
        </w:rPr>
      </w:pPr>
      <w:r>
        <w:rPr>
          <w:sz w:val="24"/>
          <w:szCs w:val="24"/>
        </w:rPr>
        <w:t>Dra. Analía  Amandi</w:t>
      </w:r>
    </w:p>
    <w:p w:rsidR="005B1EA3" w:rsidRDefault="005B1EA3" w:rsidP="005B1EA3">
      <w:pPr>
        <w:ind w:left="2124" w:firstLine="708"/>
        <w:rPr>
          <w:sz w:val="24"/>
          <w:szCs w:val="24"/>
        </w:rPr>
      </w:pPr>
      <w:r>
        <w:rPr>
          <w:sz w:val="24"/>
          <w:szCs w:val="24"/>
        </w:rPr>
        <w:t>Secretaria de Ciencia, Arte y Tecnología</w:t>
      </w:r>
    </w:p>
    <w:p w:rsidR="005B1EA3" w:rsidRDefault="005B1EA3" w:rsidP="005B1EA3">
      <w:pPr>
        <w:ind w:left="3540"/>
        <w:rPr>
          <w:sz w:val="24"/>
          <w:szCs w:val="24"/>
        </w:rPr>
      </w:pPr>
      <w:r>
        <w:rPr>
          <w:sz w:val="24"/>
          <w:szCs w:val="24"/>
        </w:rPr>
        <w:t xml:space="preserve">         UNCPBA</w:t>
      </w:r>
    </w:p>
    <w:sectPr w:rsidR="005B1EA3" w:rsidSect="00427EAC">
      <w:headerReference w:type="default" r:id="rId7"/>
      <w:footerReference w:type="default" r:id="rId8"/>
      <w:pgSz w:w="11907" w:h="16840" w:code="9"/>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111" w:rsidRDefault="00710111">
      <w:r>
        <w:separator/>
      </w:r>
    </w:p>
  </w:endnote>
  <w:endnote w:type="continuationSeparator" w:id="1">
    <w:p w:rsidR="00710111" w:rsidRDefault="007101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Zurich Ex BT">
    <w:altName w:val="Arial"/>
    <w:charset w:val="00"/>
    <w:family w:val="swiss"/>
    <w:pitch w:val="variable"/>
    <w:sig w:usb0="00000007" w:usb1="00000000" w:usb2="00000000" w:usb3="00000000" w:csb0="0000001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8EF" w:rsidRPr="00C578DA" w:rsidRDefault="008648EF" w:rsidP="00C578D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111" w:rsidRDefault="00710111">
      <w:r>
        <w:separator/>
      </w:r>
    </w:p>
  </w:footnote>
  <w:footnote w:type="continuationSeparator" w:id="1">
    <w:p w:rsidR="00710111" w:rsidRDefault="007101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8EF" w:rsidRDefault="008648EF">
    <w:pPr>
      <w:pStyle w:val="Encabezad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5"/>
      <w:gridCol w:w="6996"/>
    </w:tblGrid>
    <w:tr w:rsidR="008648EF" w:rsidTr="000B41E4">
      <w:tc>
        <w:tcPr>
          <w:tcW w:w="1728" w:type="dxa"/>
          <w:tcBorders>
            <w:top w:val="nil"/>
            <w:left w:val="nil"/>
            <w:bottom w:val="single" w:sz="4" w:space="0" w:color="auto"/>
            <w:right w:val="nil"/>
          </w:tcBorders>
        </w:tcPr>
        <w:p w:rsidR="008648EF" w:rsidRDefault="00ED2DFC">
          <w:pPr>
            <w:pStyle w:val="Encabezado"/>
          </w:pPr>
          <w:r>
            <w:rPr>
              <w:noProof/>
            </w:rPr>
            <w:drawing>
              <wp:inline distT="0" distB="0" distL="0" distR="0">
                <wp:extent cx="914400" cy="793750"/>
                <wp:effectExtent l="0" t="0" r="0" b="0"/>
                <wp:docPr id="1" name="Imagen 1" descr="logo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
                        <pic:cNvPicPr>
                          <a:picLocks noChangeAspect="1" noChangeArrowheads="1"/>
                        </pic:cNvPicPr>
                      </pic:nvPicPr>
                      <pic:blipFill>
                        <a:blip r:embed="rId1">
                          <a:clrChange>
                            <a:clrFrom>
                              <a:srgbClr val="B9CAB9"/>
                            </a:clrFrom>
                            <a:clrTo>
                              <a:srgbClr val="B9CAB9">
                                <a:alpha val="0"/>
                              </a:srgbClr>
                            </a:clrTo>
                          </a:clrChange>
                          <a:lum contrast="54000"/>
                        </a:blip>
                        <a:srcRect/>
                        <a:stretch>
                          <a:fillRect/>
                        </a:stretch>
                      </pic:blipFill>
                      <pic:spPr bwMode="auto">
                        <a:xfrm>
                          <a:off x="0" y="0"/>
                          <a:ext cx="914400" cy="793750"/>
                        </a:xfrm>
                        <a:prstGeom prst="rect">
                          <a:avLst/>
                        </a:prstGeom>
                        <a:noFill/>
                        <a:ln w="9525">
                          <a:noFill/>
                          <a:miter lim="800000"/>
                          <a:headEnd/>
                          <a:tailEnd/>
                        </a:ln>
                      </pic:spPr>
                    </pic:pic>
                  </a:graphicData>
                </a:graphic>
              </wp:inline>
            </w:drawing>
          </w:r>
        </w:p>
      </w:tc>
      <w:tc>
        <w:tcPr>
          <w:tcW w:w="7250" w:type="dxa"/>
          <w:tcBorders>
            <w:top w:val="nil"/>
            <w:left w:val="nil"/>
            <w:bottom w:val="single" w:sz="4" w:space="0" w:color="auto"/>
            <w:right w:val="nil"/>
          </w:tcBorders>
          <w:vAlign w:val="center"/>
        </w:tcPr>
        <w:p w:rsidR="008648EF" w:rsidRPr="000B41E4" w:rsidRDefault="00F42F43" w:rsidP="00204EBC">
          <w:pPr>
            <w:pStyle w:val="Encabezado"/>
            <w:rPr>
              <w:rFonts w:ascii="Zurich Ex BT" w:hAnsi="Zurich Ex BT"/>
              <w:b/>
            </w:rPr>
          </w:pPr>
          <w:r w:rsidRPr="000B41E4">
            <w:rPr>
              <w:rFonts w:ascii="Zurich Ex BT" w:hAnsi="Zurich Ex BT"/>
              <w:b/>
            </w:rPr>
            <w:t>SECRETARÍA DE CIENCIA, ARTE Y TECNOLOGÍA</w:t>
          </w:r>
        </w:p>
        <w:p w:rsidR="008648EF" w:rsidRPr="000B41E4" w:rsidRDefault="008648EF" w:rsidP="00204EBC">
          <w:pPr>
            <w:pStyle w:val="Encabezado"/>
            <w:rPr>
              <w:rFonts w:ascii="Zurich Ex BT" w:hAnsi="Zurich Ex BT"/>
            </w:rPr>
          </w:pPr>
          <w:r w:rsidRPr="000B41E4">
            <w:rPr>
              <w:rFonts w:ascii="Zurich Ex BT" w:hAnsi="Zurich Ex BT"/>
            </w:rPr>
            <w:t xml:space="preserve">Universidad Nacional del Centro </w:t>
          </w:r>
        </w:p>
        <w:p w:rsidR="008648EF" w:rsidRDefault="008648EF" w:rsidP="00204EBC">
          <w:pPr>
            <w:pStyle w:val="Encabezado"/>
          </w:pPr>
          <w:r w:rsidRPr="000B41E4">
            <w:rPr>
              <w:rFonts w:ascii="Zurich Ex BT" w:hAnsi="Zurich Ex BT"/>
            </w:rPr>
            <w:t>de la Provincia de Buenos Aires</w:t>
          </w:r>
        </w:p>
      </w:tc>
    </w:tr>
  </w:tbl>
  <w:p w:rsidR="008648EF" w:rsidRDefault="008648E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7352B"/>
    <w:multiLevelType w:val="hybridMultilevel"/>
    <w:tmpl w:val="CCAC937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B7D11CC"/>
    <w:multiLevelType w:val="hybridMultilevel"/>
    <w:tmpl w:val="F49458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F160A3A"/>
    <w:multiLevelType w:val="hybridMultilevel"/>
    <w:tmpl w:val="D6F2B68A"/>
    <w:lvl w:ilvl="0" w:tplc="56F0C20C">
      <w:start w:val="4"/>
      <w:numFmt w:val="bullet"/>
      <w:lvlText w:val="-"/>
      <w:lvlJc w:val="left"/>
      <w:pPr>
        <w:tabs>
          <w:tab w:val="num" w:pos="720"/>
        </w:tabs>
        <w:ind w:left="720" w:hanging="360"/>
      </w:pPr>
      <w:rPr>
        <w:rFonts w:ascii="Arial Narrow" w:eastAsia="Times New Roman" w:hAnsi="Arial Narrow" w:cs="Times New Roman"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
    <w:nsid w:val="32D0026D"/>
    <w:multiLevelType w:val="singleLevel"/>
    <w:tmpl w:val="63261968"/>
    <w:lvl w:ilvl="0">
      <w:start w:val="1"/>
      <w:numFmt w:val="lowerLetter"/>
      <w:lvlText w:val="%1)"/>
      <w:lvlJc w:val="left"/>
      <w:pPr>
        <w:tabs>
          <w:tab w:val="num" w:pos="360"/>
        </w:tabs>
        <w:ind w:left="360" w:hanging="360"/>
      </w:pPr>
    </w:lvl>
  </w:abstractNum>
  <w:abstractNum w:abstractNumId="4">
    <w:nsid w:val="44565646"/>
    <w:multiLevelType w:val="hybridMultilevel"/>
    <w:tmpl w:val="77E40570"/>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num w:numId="1">
    <w:abstractNumId w:val="4"/>
  </w:num>
  <w:num w:numId="2">
    <w:abstractNumId w:val="3"/>
    <w:lvlOverride w:ilvl="0">
      <w:startOverride w:val="1"/>
    </w:lvlOverride>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08"/>
  <w:hyphenationZone w:val="425"/>
  <w:noPunctuationKerning/>
  <w:characterSpacingControl w:val="doNotCompress"/>
  <w:hdrShapeDefaults>
    <o:shapedefaults v:ext="edit" spidmax="17410"/>
  </w:hdrShapeDefaults>
  <w:footnotePr>
    <w:footnote w:id="0"/>
    <w:footnote w:id="1"/>
  </w:footnotePr>
  <w:endnotePr>
    <w:endnote w:id="0"/>
    <w:endnote w:id="1"/>
  </w:endnotePr>
  <w:compat/>
  <w:rsids>
    <w:rsidRoot w:val="00B75B77"/>
    <w:rsid w:val="000B41E4"/>
    <w:rsid w:val="001269CE"/>
    <w:rsid w:val="001A4DF7"/>
    <w:rsid w:val="001E239C"/>
    <w:rsid w:val="00204EBC"/>
    <w:rsid w:val="002162FC"/>
    <w:rsid w:val="00224E82"/>
    <w:rsid w:val="00237903"/>
    <w:rsid w:val="002D4516"/>
    <w:rsid w:val="003A2D6D"/>
    <w:rsid w:val="003C3558"/>
    <w:rsid w:val="00413618"/>
    <w:rsid w:val="004151E6"/>
    <w:rsid w:val="00427EAC"/>
    <w:rsid w:val="00461BE5"/>
    <w:rsid w:val="00481530"/>
    <w:rsid w:val="004B7A26"/>
    <w:rsid w:val="004F498C"/>
    <w:rsid w:val="00513EA9"/>
    <w:rsid w:val="005524F5"/>
    <w:rsid w:val="005845EE"/>
    <w:rsid w:val="005906BA"/>
    <w:rsid w:val="005B1EA3"/>
    <w:rsid w:val="005F3B1E"/>
    <w:rsid w:val="0061507F"/>
    <w:rsid w:val="00690797"/>
    <w:rsid w:val="0069293C"/>
    <w:rsid w:val="006963DD"/>
    <w:rsid w:val="00710111"/>
    <w:rsid w:val="007133D9"/>
    <w:rsid w:val="00720233"/>
    <w:rsid w:val="00736E6A"/>
    <w:rsid w:val="00736EE6"/>
    <w:rsid w:val="0078315F"/>
    <w:rsid w:val="007A214A"/>
    <w:rsid w:val="007D2721"/>
    <w:rsid w:val="0083080F"/>
    <w:rsid w:val="0084729A"/>
    <w:rsid w:val="00851041"/>
    <w:rsid w:val="008648EF"/>
    <w:rsid w:val="008C2F8D"/>
    <w:rsid w:val="00942928"/>
    <w:rsid w:val="00946B96"/>
    <w:rsid w:val="00954011"/>
    <w:rsid w:val="00963ACA"/>
    <w:rsid w:val="00972FE4"/>
    <w:rsid w:val="009A530D"/>
    <w:rsid w:val="00A415D6"/>
    <w:rsid w:val="00A63EDE"/>
    <w:rsid w:val="00A674CF"/>
    <w:rsid w:val="00A67F2F"/>
    <w:rsid w:val="00A8686D"/>
    <w:rsid w:val="00AC1B03"/>
    <w:rsid w:val="00AD6BDA"/>
    <w:rsid w:val="00AE02E5"/>
    <w:rsid w:val="00B43B3E"/>
    <w:rsid w:val="00B75B77"/>
    <w:rsid w:val="00BE40E9"/>
    <w:rsid w:val="00C23120"/>
    <w:rsid w:val="00C3040E"/>
    <w:rsid w:val="00C578DA"/>
    <w:rsid w:val="00C93108"/>
    <w:rsid w:val="00CF6340"/>
    <w:rsid w:val="00CF7ED4"/>
    <w:rsid w:val="00D00F05"/>
    <w:rsid w:val="00D71005"/>
    <w:rsid w:val="00DA2A16"/>
    <w:rsid w:val="00DD2013"/>
    <w:rsid w:val="00E23A78"/>
    <w:rsid w:val="00E23FC9"/>
    <w:rsid w:val="00EA3356"/>
    <w:rsid w:val="00ED2DFC"/>
    <w:rsid w:val="00F42F4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356"/>
    <w:rPr>
      <w:lang w:val="es-ES" w:eastAsia="es-ES"/>
    </w:rPr>
  </w:style>
  <w:style w:type="paragraph" w:styleId="Ttulo1">
    <w:name w:val="heading 1"/>
    <w:basedOn w:val="Normal"/>
    <w:next w:val="Normal"/>
    <w:qFormat/>
    <w:rsid w:val="00EA3356"/>
    <w:pPr>
      <w:keepNext/>
      <w:jc w:val="center"/>
      <w:outlineLvl w:val="0"/>
    </w:pPr>
    <w:rPr>
      <w:sz w:val="24"/>
      <w:u w:val="single"/>
      <w:lang w:val="es-ES_tradnl"/>
    </w:rPr>
  </w:style>
  <w:style w:type="paragraph" w:styleId="Ttulo2">
    <w:name w:val="heading 2"/>
    <w:basedOn w:val="Normal"/>
    <w:next w:val="Normal"/>
    <w:qFormat/>
    <w:rsid w:val="00EA3356"/>
    <w:pPr>
      <w:keepNext/>
      <w:outlineLvl w:val="1"/>
    </w:pPr>
  </w:style>
  <w:style w:type="paragraph" w:styleId="Ttulo3">
    <w:name w:val="heading 3"/>
    <w:basedOn w:val="Normal"/>
    <w:next w:val="Normal"/>
    <w:qFormat/>
    <w:rsid w:val="002162FC"/>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04EBC"/>
    <w:pPr>
      <w:tabs>
        <w:tab w:val="center" w:pos="4419"/>
        <w:tab w:val="right" w:pos="8838"/>
      </w:tabs>
    </w:pPr>
  </w:style>
  <w:style w:type="paragraph" w:styleId="Piedepgina">
    <w:name w:val="footer"/>
    <w:basedOn w:val="Normal"/>
    <w:rsid w:val="00204EBC"/>
    <w:pPr>
      <w:tabs>
        <w:tab w:val="center" w:pos="4419"/>
        <w:tab w:val="right" w:pos="8838"/>
      </w:tabs>
    </w:pPr>
  </w:style>
  <w:style w:type="table" w:styleId="Tablaconcuadrcula">
    <w:name w:val="Table Grid"/>
    <w:basedOn w:val="Tablanormal"/>
    <w:rsid w:val="00204E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204EBC"/>
  </w:style>
  <w:style w:type="paragraph" w:styleId="Textodeglobo">
    <w:name w:val="Balloon Text"/>
    <w:basedOn w:val="Normal"/>
    <w:semiHidden/>
    <w:rsid w:val="00427EAC"/>
    <w:rPr>
      <w:rFonts w:ascii="Tahoma" w:hAnsi="Tahoma" w:cs="Tahoma"/>
      <w:sz w:val="16"/>
      <w:szCs w:val="16"/>
    </w:rPr>
  </w:style>
  <w:style w:type="paragraph" w:styleId="Textoindependiente2">
    <w:name w:val="Body Text 2"/>
    <w:basedOn w:val="Normal"/>
    <w:rsid w:val="002162FC"/>
    <w:pPr>
      <w:spacing w:after="120" w:line="480" w:lineRule="auto"/>
    </w:pPr>
  </w:style>
  <w:style w:type="paragraph" w:styleId="Sangra3detindependiente">
    <w:name w:val="Body Text Indent 3"/>
    <w:basedOn w:val="Normal"/>
    <w:rsid w:val="002162FC"/>
    <w:pPr>
      <w:spacing w:after="120"/>
      <w:ind w:left="283"/>
    </w:pPr>
    <w:rPr>
      <w:sz w:val="16"/>
      <w:szCs w:val="16"/>
    </w:rPr>
  </w:style>
  <w:style w:type="paragraph" w:styleId="Textoindependiente">
    <w:name w:val="Body Text"/>
    <w:basedOn w:val="Normal"/>
    <w:rsid w:val="00EA3356"/>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viana\Datos%20de%20programa\Microsoft\Plantillas\Logo%20SeCAT.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Logo SeCAT</Template>
  <TotalTime>65</TotalTime>
  <Pages>1</Pages>
  <Words>327</Words>
  <Characters>1799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Logo SeCAT</vt:lpstr>
    </vt:vector>
  </TitlesOfParts>
  <Company>Facultad Ingenieria</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SeCAT</dc:title>
  <dc:creator>Viviana Isasmendi</dc:creator>
  <cp:lastModifiedBy>Viviana Isasmendi</cp:lastModifiedBy>
  <cp:revision>5</cp:revision>
  <cp:lastPrinted>2003-07-10T12:11:00Z</cp:lastPrinted>
  <dcterms:created xsi:type="dcterms:W3CDTF">2014-04-11T14:48:00Z</dcterms:created>
  <dcterms:modified xsi:type="dcterms:W3CDTF">2014-04-11T15:59:00Z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-1892740044</vt:i4>
  </property>
  <property fmtid="{D5CDD505-2E9C-101B-9397-08002B2CF9AE}" pid="3" name="_EmailSubject">
    <vt:lpwstr>todo de alimentos</vt:lpwstr>
  </property>
  <property fmtid="{D5CDD505-2E9C-101B-9397-08002B2CF9AE}" pid="4" name="_AuthorEmail">
    <vt:lpwstr>mspina@rec.unicen.edu.ar</vt:lpwstr>
  </property>
  <property fmtid="{D5CDD505-2E9C-101B-9397-08002B2CF9AE}" pid="5" name="_AuthorEmailDisplayName">
    <vt:lpwstr>Marcelo Spina</vt:lpwstr>
  </property>
  <property fmtid="{D5CDD505-2E9C-101B-9397-08002B2CF9AE}" pid="6" name="_ReviewingToolsShownOnce">
    <vt:lpwstr/>
  </property>
</Properties>
</file>