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B3" w:rsidRDefault="00466159" w:rsidP="00466159">
      <w:pPr>
        <w:jc w:val="center"/>
        <w:rPr>
          <w:b/>
          <w:sz w:val="24"/>
          <w:szCs w:val="24"/>
        </w:rPr>
      </w:pPr>
      <w:r w:rsidRPr="00466711">
        <w:rPr>
          <w:b/>
          <w:sz w:val="24"/>
          <w:szCs w:val="24"/>
        </w:rPr>
        <w:t xml:space="preserve">Participación de UNICEN en </w:t>
      </w:r>
      <w:r w:rsidR="00466711">
        <w:rPr>
          <w:b/>
          <w:sz w:val="24"/>
          <w:szCs w:val="24"/>
        </w:rPr>
        <w:t>la 9° Convocatoria a Proyectos de Redes Internacionales</w:t>
      </w:r>
    </w:p>
    <w:p w:rsidR="00466711" w:rsidRPr="00466711" w:rsidRDefault="00466711" w:rsidP="00687A63">
      <w:pPr>
        <w:spacing w:line="240" w:lineRule="auto"/>
        <w:jc w:val="both"/>
        <w:rPr>
          <w:sz w:val="24"/>
          <w:szCs w:val="24"/>
        </w:rPr>
      </w:pPr>
      <w:r w:rsidRPr="00466711">
        <w:rPr>
          <w:bCs/>
          <w:sz w:val="24"/>
          <w:szCs w:val="24"/>
        </w:rPr>
        <w:t xml:space="preserve">El día 10 de noviembre pasado, el Programa de Promoción de la Universidad Argentina </w:t>
      </w:r>
      <w:r>
        <w:rPr>
          <w:bCs/>
          <w:sz w:val="24"/>
          <w:szCs w:val="24"/>
        </w:rPr>
        <w:t>(PPUA) anunció</w:t>
      </w:r>
      <w:r w:rsidRPr="00466711">
        <w:rPr>
          <w:bCs/>
          <w:sz w:val="24"/>
          <w:szCs w:val="24"/>
        </w:rPr>
        <w:t xml:space="preserve"> los resultados de la 9º convocatoria a Proyectos de Redes Internacionales. </w:t>
      </w:r>
      <w:r>
        <w:rPr>
          <w:bCs/>
          <w:sz w:val="24"/>
          <w:szCs w:val="24"/>
        </w:rPr>
        <w:t>Se trata de</w:t>
      </w:r>
      <w:r w:rsidRPr="00466711">
        <w:rPr>
          <w:bCs/>
          <w:sz w:val="24"/>
          <w:szCs w:val="24"/>
        </w:rPr>
        <w:t xml:space="preserve"> una herramienta que permite construir y consolidar asociaciones entre Universidades de nuestro país con instituciones de otros países del mundo. Estos vínculos tienen por objetivo </w:t>
      </w:r>
      <w:proofErr w:type="gramStart"/>
      <w:r w:rsidRPr="00466711">
        <w:rPr>
          <w:bCs/>
          <w:sz w:val="24"/>
          <w:szCs w:val="24"/>
        </w:rPr>
        <w:t>el desarrollo de investigaciones conjuntas, la cooperación, el desarrollo de seminarios, movilidades de estudiantes, docentes, investigadores y científicos</w:t>
      </w:r>
      <w:proofErr w:type="gramEnd"/>
      <w:r w:rsidRPr="00466711">
        <w:rPr>
          <w:bCs/>
          <w:sz w:val="24"/>
          <w:szCs w:val="24"/>
        </w:rPr>
        <w:t xml:space="preserve"> en general.</w:t>
      </w:r>
    </w:p>
    <w:p w:rsidR="00687A63" w:rsidRDefault="00687A63" w:rsidP="00687A63">
      <w:pPr>
        <w:spacing w:line="240" w:lineRule="auto"/>
        <w:jc w:val="both"/>
        <w:rPr>
          <w:sz w:val="24"/>
          <w:szCs w:val="24"/>
        </w:rPr>
      </w:pPr>
      <w:r>
        <w:rPr>
          <w:sz w:val="24"/>
          <w:szCs w:val="24"/>
        </w:rPr>
        <w:t>Nuestra Universidad formó parte de 22 proyectos, siendo aprobados 17 de los mismos.</w:t>
      </w:r>
    </w:p>
    <w:p w:rsidR="00687A63" w:rsidRDefault="00687A63" w:rsidP="00687A63">
      <w:pPr>
        <w:spacing w:line="240" w:lineRule="auto"/>
        <w:jc w:val="both"/>
        <w:rPr>
          <w:sz w:val="24"/>
          <w:szCs w:val="24"/>
        </w:rPr>
      </w:pPr>
      <w:r>
        <w:rPr>
          <w:sz w:val="24"/>
          <w:szCs w:val="24"/>
        </w:rPr>
        <w:t>De los 17 proyectos aprobados, la UNICEN es universidad convocante (coordinadora) en 9, siendo los países involucrados México, Cuba, Uruguay, Chile, Italia, entre otros.</w:t>
      </w:r>
    </w:p>
    <w:p w:rsidR="00687A63" w:rsidRDefault="00687A63" w:rsidP="00687A63">
      <w:pPr>
        <w:spacing w:line="240" w:lineRule="auto"/>
        <w:jc w:val="both"/>
        <w:rPr>
          <w:sz w:val="24"/>
          <w:szCs w:val="24"/>
        </w:rPr>
      </w:pPr>
      <w:r>
        <w:rPr>
          <w:sz w:val="24"/>
          <w:szCs w:val="24"/>
        </w:rPr>
        <w:t xml:space="preserve">Con respecto a los proyectos en los cuales la UNICEN es universidad </w:t>
      </w:r>
      <w:r>
        <w:rPr>
          <w:sz w:val="24"/>
          <w:szCs w:val="24"/>
        </w:rPr>
        <w:t>participante (no coordinadora, l</w:t>
      </w:r>
      <w:r>
        <w:rPr>
          <w:sz w:val="24"/>
          <w:szCs w:val="24"/>
        </w:rPr>
        <w:t>a coordinación recae en otra universidad argentina), fueron aprobados 8, involucrando a países tales como Brasil, Bolivia, Paraguay, Chile, Perú, Colombia, Ecuador, entre otros.</w:t>
      </w:r>
    </w:p>
    <w:p w:rsidR="00687A63" w:rsidRDefault="00687A63" w:rsidP="00687A63">
      <w:pPr>
        <w:jc w:val="center"/>
        <w:rPr>
          <w:sz w:val="24"/>
          <w:szCs w:val="24"/>
        </w:rPr>
      </w:pPr>
      <w:r w:rsidRPr="00B44909">
        <w:rPr>
          <w:noProof/>
          <w:lang w:eastAsia="es-AR"/>
        </w:rPr>
        <w:drawing>
          <wp:inline distT="0" distB="0" distL="0" distR="0" wp14:anchorId="46F1A87C" wp14:editId="3FD97803">
            <wp:extent cx="4010025" cy="1809750"/>
            <wp:effectExtent l="0" t="0" r="9525"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87A63" w:rsidRDefault="00687A63" w:rsidP="00687A63">
      <w:pPr>
        <w:jc w:val="center"/>
        <w:rPr>
          <w:sz w:val="24"/>
          <w:szCs w:val="24"/>
        </w:rPr>
      </w:pPr>
      <w:r>
        <w:rPr>
          <w:noProof/>
          <w:lang w:eastAsia="es-AR"/>
        </w:rPr>
        <w:drawing>
          <wp:inline distT="0" distB="0" distL="0" distR="0" wp14:anchorId="33050B13" wp14:editId="63869E68">
            <wp:extent cx="4029075" cy="1943100"/>
            <wp:effectExtent l="0" t="0" r="9525"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66711" w:rsidRDefault="00466711" w:rsidP="00687A63">
      <w:pPr>
        <w:spacing w:line="240" w:lineRule="auto"/>
        <w:jc w:val="both"/>
        <w:rPr>
          <w:sz w:val="24"/>
          <w:szCs w:val="24"/>
        </w:rPr>
      </w:pPr>
      <w:r w:rsidRPr="00466711">
        <w:rPr>
          <w:sz w:val="24"/>
          <w:szCs w:val="24"/>
        </w:rPr>
        <w:t xml:space="preserve">Esta iniciativa de la Subsecretaría de Políticas Universitarias del Ministerio de Educación de la Nación cuenta con la participación de 68 instituciones de educación superior, de las cuales son 50 son universidades nacionales, 2 universidades provinciales, y 16 universidades de gestión privada. Se presentaron 609 proyectos de los cuales se seleccionaron 190. </w:t>
      </w:r>
      <w:r w:rsidR="00687A63">
        <w:rPr>
          <w:sz w:val="24"/>
          <w:szCs w:val="24"/>
        </w:rPr>
        <w:t>La duración de los mismos es de 12 meses.</w:t>
      </w:r>
      <w:bookmarkStart w:id="0" w:name="_GoBack"/>
      <w:bookmarkEnd w:id="0"/>
    </w:p>
    <w:p w:rsidR="00466711" w:rsidRPr="00466711" w:rsidRDefault="00687A63" w:rsidP="00687A63">
      <w:pPr>
        <w:spacing w:line="240" w:lineRule="auto"/>
        <w:jc w:val="both"/>
        <w:rPr>
          <w:sz w:val="24"/>
          <w:szCs w:val="24"/>
        </w:rPr>
      </w:pPr>
      <w:r>
        <w:rPr>
          <w:sz w:val="24"/>
          <w:szCs w:val="24"/>
        </w:rPr>
        <w:t xml:space="preserve">Mayor información relativa a los proyectos y a la operatoria de la convocatoria: </w:t>
      </w:r>
      <w:hyperlink r:id="rId7" w:history="1">
        <w:r w:rsidRPr="00D8075A">
          <w:rPr>
            <w:rStyle w:val="Hipervnculo"/>
            <w:sz w:val="24"/>
            <w:szCs w:val="24"/>
          </w:rPr>
          <w:t>relaciones.internacionales@rec.unicen.edu.ar</w:t>
        </w:r>
      </w:hyperlink>
      <w:r>
        <w:rPr>
          <w:sz w:val="24"/>
          <w:szCs w:val="24"/>
        </w:rPr>
        <w:t xml:space="preserve"> </w:t>
      </w:r>
    </w:p>
    <w:sectPr w:rsidR="00466711" w:rsidRPr="00466711" w:rsidSect="00687A63">
      <w:pgSz w:w="12240" w:h="15840"/>
      <w:pgMar w:top="568"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159"/>
    <w:rsid w:val="00466159"/>
    <w:rsid w:val="00466711"/>
    <w:rsid w:val="00687A63"/>
    <w:rsid w:val="00960A26"/>
    <w:rsid w:val="00FF16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87A63"/>
    <w:rPr>
      <w:color w:val="0000FF" w:themeColor="hyperlink"/>
      <w:u w:val="single"/>
    </w:rPr>
  </w:style>
  <w:style w:type="paragraph" w:styleId="Textodeglobo">
    <w:name w:val="Balloon Text"/>
    <w:basedOn w:val="Normal"/>
    <w:link w:val="TextodegloboCar"/>
    <w:uiPriority w:val="99"/>
    <w:semiHidden/>
    <w:unhideWhenUsed/>
    <w:rsid w:val="00687A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A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87A63"/>
    <w:rPr>
      <w:color w:val="0000FF" w:themeColor="hyperlink"/>
      <w:u w:val="single"/>
    </w:rPr>
  </w:style>
  <w:style w:type="paragraph" w:styleId="Textodeglobo">
    <w:name w:val="Balloon Text"/>
    <w:basedOn w:val="Normal"/>
    <w:link w:val="TextodegloboCar"/>
    <w:uiPriority w:val="99"/>
    <w:semiHidden/>
    <w:unhideWhenUsed/>
    <w:rsid w:val="00687A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5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laciones.internacionales@rec.unicen.edu.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Países involucrados en proyectos en los que la </a:t>
            </a:r>
            <a:r>
              <a:rPr lang="en-US" sz="1200" baseline="0"/>
              <a:t>UNICEN participa como convocante en REDES IX</a:t>
            </a:r>
            <a:endParaRPr lang="en-US" sz="1200"/>
          </a:p>
        </c:rich>
      </c:tx>
      <c:layout>
        <c:manualLayout>
          <c:xMode val="edge"/>
          <c:yMode val="edge"/>
          <c:x val="0.11622072181594877"/>
          <c:y val="4.2105263157894736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1807835761420511E-3"/>
          <c:y val="0.36030950131233597"/>
          <c:w val="0.64113365876771344"/>
          <c:h val="0.57876004973062578"/>
        </c:manualLayout>
      </c:layout>
      <c:pie3DChart>
        <c:varyColors val="1"/>
        <c:ser>
          <c:idx val="0"/>
          <c:order val="0"/>
          <c:tx>
            <c:strRef>
              <c:f>Hoja1!$B$1</c:f>
              <c:strCache>
                <c:ptCount val="1"/>
                <c:pt idx="0">
                  <c:v>Columna1</c:v>
                </c:pt>
              </c:strCache>
            </c:strRef>
          </c:tx>
          <c:spPr>
            <a:ln>
              <a:solidFill>
                <a:schemeClr val="tx1"/>
              </a:solidFill>
            </a:ln>
          </c:spPr>
          <c:explosion val="4"/>
          <c:dPt>
            <c:idx val="0"/>
            <c:bubble3D val="0"/>
            <c:spPr>
              <a:solidFill>
                <a:srgbClr val="0070C0"/>
              </a:solidFill>
              <a:ln>
                <a:solidFill>
                  <a:schemeClr val="tx1"/>
                </a:solidFill>
              </a:ln>
            </c:spPr>
          </c:dPt>
          <c:dPt>
            <c:idx val="1"/>
            <c:bubble3D val="0"/>
            <c:explosion val="8"/>
            <c:spPr>
              <a:solidFill>
                <a:srgbClr val="FF0000"/>
              </a:solidFill>
              <a:ln>
                <a:solidFill>
                  <a:schemeClr val="tx1"/>
                </a:solidFill>
              </a:ln>
            </c:spPr>
          </c:dPt>
          <c:dPt>
            <c:idx val="2"/>
            <c:bubble3D val="0"/>
            <c:explosion val="9"/>
            <c:spPr>
              <a:solidFill>
                <a:srgbClr val="FFFF00"/>
              </a:solidFill>
              <a:ln>
                <a:solidFill>
                  <a:schemeClr val="tx1"/>
                </a:solidFill>
              </a:ln>
            </c:spPr>
          </c:dPt>
          <c:dPt>
            <c:idx val="3"/>
            <c:bubble3D val="0"/>
            <c:explosion val="6"/>
            <c:spPr>
              <a:solidFill>
                <a:schemeClr val="accent4"/>
              </a:solidFill>
              <a:ln>
                <a:solidFill>
                  <a:schemeClr val="tx1"/>
                </a:solidFill>
              </a:ln>
            </c:spPr>
          </c:dPt>
          <c:dPt>
            <c:idx val="4"/>
            <c:bubble3D val="0"/>
            <c:spPr>
              <a:solidFill>
                <a:srgbClr val="92D050"/>
              </a:solidFill>
              <a:ln>
                <a:solidFill>
                  <a:schemeClr val="tx1"/>
                </a:solidFill>
              </a:ln>
            </c:spPr>
          </c:dPt>
          <c:dPt>
            <c:idx val="5"/>
            <c:bubble3D val="0"/>
            <c:explosion val="5"/>
            <c:spPr>
              <a:solidFill>
                <a:schemeClr val="accent6">
                  <a:lumMod val="75000"/>
                </a:schemeClr>
              </a:solidFill>
              <a:ln>
                <a:solidFill>
                  <a:schemeClr val="tx1"/>
                </a:solidFill>
              </a:ln>
            </c:spPr>
          </c:dPt>
          <c:cat>
            <c:strRef>
              <c:f>Hoja1!$A$2:$A$7</c:f>
              <c:strCache>
                <c:ptCount val="6"/>
                <c:pt idx="0">
                  <c:v>México (5)</c:v>
                </c:pt>
                <c:pt idx="1">
                  <c:v>Uruguay (2)</c:v>
                </c:pt>
                <c:pt idx="2">
                  <c:v>Chile (2)</c:v>
                </c:pt>
                <c:pt idx="3">
                  <c:v>Cuba (1)</c:v>
                </c:pt>
                <c:pt idx="4">
                  <c:v>Italia (1)</c:v>
                </c:pt>
                <c:pt idx="5">
                  <c:v>Reino Unido (1)</c:v>
                </c:pt>
              </c:strCache>
            </c:strRef>
          </c:cat>
          <c:val>
            <c:numRef>
              <c:f>Hoja1!$B$2:$B$7</c:f>
              <c:numCache>
                <c:formatCode>General</c:formatCode>
                <c:ptCount val="6"/>
                <c:pt idx="0">
                  <c:v>5</c:v>
                </c:pt>
                <c:pt idx="1">
                  <c:v>2</c:v>
                </c:pt>
                <c:pt idx="2">
                  <c:v>2</c:v>
                </c:pt>
                <c:pt idx="3">
                  <c:v>1</c:v>
                </c:pt>
                <c:pt idx="4">
                  <c:v>1</c:v>
                </c:pt>
                <c:pt idx="5">
                  <c:v>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0062992125984249"/>
          <c:y val="0.27470755629230559"/>
          <c:w val="0.33726896964482767"/>
          <c:h val="0.68935267302113556"/>
        </c:manualLayout>
      </c:layout>
      <c:overlay val="0"/>
      <c:txPr>
        <a:bodyPr/>
        <a:lstStyle/>
        <a:p>
          <a:pPr>
            <a:defRPr sz="1000"/>
          </a:pPr>
          <a:endParaRPr lang="es-AR"/>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Países</a:t>
            </a:r>
            <a:r>
              <a:rPr lang="en-US" sz="1200" baseline="0"/>
              <a:t> involucrados en proyectos en los que la UNICEN es participante en REDES IX</a:t>
            </a:r>
            <a:endParaRPr lang="en-US" sz="1200"/>
          </a:p>
        </c:rich>
      </c:tx>
      <c:layout>
        <c:manualLayout>
          <c:xMode val="edge"/>
          <c:yMode val="edge"/>
          <c:x val="0.14221050940061064"/>
          <c:y val="3.3484877994490972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5462962962962962E-2"/>
          <c:y val="0.34983865388919411"/>
          <c:w val="0.58133358036127836"/>
          <c:h val="0.52154341001492455"/>
        </c:manualLayout>
      </c:layout>
      <c:pie3DChart>
        <c:varyColors val="1"/>
        <c:ser>
          <c:idx val="0"/>
          <c:order val="0"/>
          <c:tx>
            <c:strRef>
              <c:f>Hoja1!$B$1</c:f>
              <c:strCache>
                <c:ptCount val="1"/>
                <c:pt idx="0">
                  <c:v>Ventas</c:v>
                </c:pt>
              </c:strCache>
            </c:strRef>
          </c:tx>
          <c:spPr>
            <a:ln>
              <a:solidFill>
                <a:schemeClr val="tx1"/>
              </a:solidFill>
            </a:ln>
          </c:spPr>
          <c:dPt>
            <c:idx val="0"/>
            <c:bubble3D val="0"/>
            <c:explosion val="4"/>
            <c:spPr>
              <a:solidFill>
                <a:srgbClr val="00B050"/>
              </a:solidFill>
              <a:ln>
                <a:solidFill>
                  <a:schemeClr val="tx1"/>
                </a:solidFill>
              </a:ln>
            </c:spPr>
          </c:dPt>
          <c:dPt>
            <c:idx val="1"/>
            <c:bubble3D val="0"/>
            <c:explosion val="5"/>
            <c:spPr>
              <a:solidFill>
                <a:schemeClr val="tx2">
                  <a:lumMod val="60000"/>
                  <a:lumOff val="40000"/>
                </a:schemeClr>
              </a:solidFill>
              <a:ln>
                <a:solidFill>
                  <a:schemeClr val="tx1"/>
                </a:solidFill>
              </a:ln>
            </c:spPr>
          </c:dPt>
          <c:dPt>
            <c:idx val="2"/>
            <c:bubble3D val="0"/>
            <c:explosion val="5"/>
            <c:spPr>
              <a:solidFill>
                <a:schemeClr val="accent6">
                  <a:lumMod val="75000"/>
                </a:schemeClr>
              </a:solidFill>
              <a:ln>
                <a:solidFill>
                  <a:schemeClr val="tx1"/>
                </a:solidFill>
              </a:ln>
            </c:spPr>
          </c:dPt>
          <c:dPt>
            <c:idx val="3"/>
            <c:bubble3D val="0"/>
            <c:explosion val="8"/>
            <c:spPr>
              <a:solidFill>
                <a:srgbClr val="FFFF00"/>
              </a:solidFill>
              <a:ln>
                <a:solidFill>
                  <a:schemeClr val="tx1"/>
                </a:solidFill>
              </a:ln>
            </c:spPr>
          </c:dPt>
          <c:dPt>
            <c:idx val="4"/>
            <c:bubble3D val="0"/>
            <c:explosion val="8"/>
            <c:spPr>
              <a:solidFill>
                <a:schemeClr val="accent4"/>
              </a:solidFill>
              <a:ln>
                <a:solidFill>
                  <a:schemeClr val="tx1"/>
                </a:solidFill>
              </a:ln>
            </c:spPr>
          </c:dPt>
          <c:dPt>
            <c:idx val="5"/>
            <c:bubble3D val="0"/>
            <c:explosion val="6"/>
            <c:spPr>
              <a:solidFill>
                <a:srgbClr val="FF0000"/>
              </a:solidFill>
              <a:ln>
                <a:solidFill>
                  <a:schemeClr val="tx1"/>
                </a:solidFill>
              </a:ln>
            </c:spPr>
          </c:dPt>
          <c:dPt>
            <c:idx val="6"/>
            <c:bubble3D val="0"/>
            <c:explosion val="8"/>
            <c:spPr>
              <a:solidFill>
                <a:schemeClr val="bg1">
                  <a:lumMod val="75000"/>
                </a:schemeClr>
              </a:solidFill>
              <a:ln>
                <a:solidFill>
                  <a:schemeClr val="tx1"/>
                </a:solidFill>
              </a:ln>
            </c:spPr>
          </c:dPt>
          <c:dPt>
            <c:idx val="7"/>
            <c:bubble3D val="0"/>
            <c:explosion val="7"/>
            <c:spPr>
              <a:solidFill>
                <a:srgbClr val="0070C0"/>
              </a:solidFill>
              <a:ln>
                <a:solidFill>
                  <a:schemeClr val="tx1"/>
                </a:solidFill>
              </a:ln>
            </c:spPr>
          </c:dPt>
          <c:cat>
            <c:strRef>
              <c:f>Hoja1!$A$2:$A$9</c:f>
              <c:strCache>
                <c:ptCount val="8"/>
                <c:pt idx="0">
                  <c:v>Brasil (3)</c:v>
                </c:pt>
                <c:pt idx="1">
                  <c:v>Chile (2)</c:v>
                </c:pt>
                <c:pt idx="2">
                  <c:v>Paraguay (1)</c:v>
                </c:pt>
                <c:pt idx="3">
                  <c:v>Colombia (1)</c:v>
                </c:pt>
                <c:pt idx="4">
                  <c:v>Bolivia (1)</c:v>
                </c:pt>
                <c:pt idx="5">
                  <c:v>Perú (1)</c:v>
                </c:pt>
                <c:pt idx="6">
                  <c:v>Ecuador (1)</c:v>
                </c:pt>
                <c:pt idx="7">
                  <c:v>Cuba (1)</c:v>
                </c:pt>
              </c:strCache>
            </c:strRef>
          </c:cat>
          <c:val>
            <c:numRef>
              <c:f>Hoja1!$B$2:$B$9</c:f>
              <c:numCache>
                <c:formatCode>General</c:formatCode>
                <c:ptCount val="8"/>
                <c:pt idx="0">
                  <c:v>3</c:v>
                </c:pt>
                <c:pt idx="1">
                  <c:v>2</c:v>
                </c:pt>
                <c:pt idx="2">
                  <c:v>1</c:v>
                </c:pt>
                <c:pt idx="3">
                  <c:v>1</c:v>
                </c:pt>
                <c:pt idx="4">
                  <c:v>1</c:v>
                </c:pt>
                <c:pt idx="5">
                  <c:v>1</c:v>
                </c:pt>
                <c:pt idx="6">
                  <c:v>1</c:v>
                </c:pt>
                <c:pt idx="7">
                  <c:v>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2448874478925434"/>
          <c:y val="0.24627140357455318"/>
          <c:w val="0.46162235602902579"/>
          <c:h val="0.71757592800899883"/>
        </c:manualLayout>
      </c:layout>
      <c:overlay val="0"/>
      <c:txPr>
        <a:bodyPr/>
        <a:lstStyle/>
        <a:p>
          <a:pPr>
            <a:defRPr sz="1000"/>
          </a:pPr>
          <a:endParaRPr lang="es-AR"/>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63</TotalTime>
  <Pages>1</Pages>
  <Words>269</Words>
  <Characters>1482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2015-11-18T12:54:00Z</cp:lastPrinted>
  <dcterms:created xsi:type="dcterms:W3CDTF">2015-11-16T15:39:00Z</dcterms:created>
  <dcterms:modified xsi:type="dcterms:W3CDTF">2015-11-18T13:42:00Z</dcterms:modified>
</cp:coreProperties>
</file>